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ghi vào sổ hộ tịch các việc hộ tịch đã đăng ký tại cơ quan có thẩm quyền của nước ngoài (giám hộ; nhận cha, mẹ, con; xác định cha, mẹ con; nuôi con nuôi; khai tử; và những thay đổi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ghi vào sổ hộ tịch các việc hộ tịch đã đăng ký tại cơ quan có thẩm quyền của nước ngoài (giám hộ; nhận cha, mẹ, con; xác định cha, mẹ con; nuôi con nuôi; khai tử; và những thay đổi khác)</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tại Cơ quan đại diện Việt Nam ở nước ngoài phụ trách khu vực lãnh sự nơi công dân Việt Nam cư trú.</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thì thực hiện việc ghi vào Sổ hộ tịch tương ứng, báo cáo Thủ trưởng Cơ quan đại diện Việt Nam ở nước ngoài xem xét ký Trích lục ghi sổ việc hộ tịch tương ứng cho người yêu cầu.
- Người có yêu cầu ghi vào sổ các việc hộ tịch kiểm tra thông tin trên Trích lục hộ tịch, trong Sổ hộ tịch và ký tên vào Sổ hộ tịch, nhận Trích lục hộ tịch.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Giờ</w:t>
            </w:r>
          </w:p>
        </w:tc>
        <w:tc>
          <w:p/>
          <w:p>
            <w:pPr>
              <w:spacing w:after="0" w:before="0" w:lineRule="auto" w:line="276"/>
              <w:jc w:val="left"/>
            </w:pPr>
            <w:r>
              <w:rPr>
                <w:rFonts w:ascii="Times New Roman" w:hAnsi="Times New Roman" w:cs="Times New Roman" w:eastAsia="Times New Roman"/>
                <w:b w:val="false"/>
                <w:sz w:val="26"/>
              </w:rPr>
              <w:t>Lệ phí : 10 USD</w:t>
              <w:t xml:space="preserve"> (Đăng ký ghi vào sổ việc xác định cha, mẹ, con đã đăng ký tại cơ quan có thẩm quyền của nước ngoài)</w:t>
              <w:br/>
              <w:t>File đính kèm: VanBanGoc_264-2016-TT-BTC.pdf</w:t>
            </w:r>
          </w:p>
          <w:p>
            <w:pPr>
              <w:spacing w:after="0" w:before="0" w:lineRule="auto" w:line="276"/>
              <w:jc w:val="left"/>
            </w:pPr>
            <w:r>
              <w:rPr>
                <w:rFonts w:ascii="Times New Roman" w:hAnsi="Times New Roman" w:cs="Times New Roman" w:eastAsia="Times New Roman"/>
                <w:b w:val="false"/>
                <w:sz w:val="26"/>
              </w:rPr>
              <w:t>Lệ phí : 20 USD</w:t>
              <w:t xml:space="preserve"> (Ghi vào Sổ việc giám hộ đã đăng ký tại cơ quan có thẩm quyền của nước ngoài và cấp bản chính trích lục)</w:t>
              <w:br/>
              <w:t>File đính kèm: VanBanGoc_264-2016-TT-BTC.pdf</w:t>
            </w:r>
          </w:p>
          <w:p>
            <w:pPr>
              <w:spacing w:after="0" w:before="0" w:lineRule="auto" w:line="276"/>
              <w:jc w:val="left"/>
            </w:pPr>
            <w:r>
              <w:rPr>
                <w:rFonts w:ascii="Times New Roman" w:hAnsi="Times New Roman" w:cs="Times New Roman" w:eastAsia="Times New Roman"/>
                <w:b w:val="false"/>
                <w:sz w:val="26"/>
              </w:rPr>
              <w:t>Lệ phí : 20 USD</w:t>
              <w:t xml:space="preserve"> (Ghi vào Sổ việc nhận cha, mẹ, con đã đăng ký tại cơ quan có thẩm quyền của nước ngoài và cấp bản chính trích lục)</w:t>
              <w:br/>
              <w:t>File đính kèm: VanBanGoc_264-2016-TT-BTC.pdf</w:t>
            </w:r>
          </w:p>
          <w:p>
            <w:pPr>
              <w:spacing w:after="0" w:before="0" w:lineRule="auto" w:line="276"/>
              <w:jc w:val="left"/>
            </w:pPr>
            <w:r>
              <w:rPr>
                <w:rFonts w:ascii="Times New Roman" w:hAnsi="Times New Roman" w:cs="Times New Roman" w:eastAsia="Times New Roman"/>
                <w:b w:val="false"/>
                <w:sz w:val="26"/>
              </w:rPr>
              <w:t>Lệ phí : 20 USD</w:t>
              <w:t xml:space="preserve"> (Ghi vào Sổ việc  nuôi con nuôi đã đăng ký tại cơ quan có thẩm quyền của nước ngoài và cấp bản chính trích lục)</w:t>
            </w:r>
          </w:p>
          <w:p>
            <w:pPr>
              <w:spacing w:after="0" w:before="0" w:lineRule="auto" w:line="276"/>
              <w:jc w:val="left"/>
            </w:pPr>
            <w:r>
              <w:rPr>
                <w:rFonts w:ascii="Times New Roman" w:hAnsi="Times New Roman" w:cs="Times New Roman" w:eastAsia="Times New Roman"/>
                <w:b w:val="false"/>
                <w:sz w:val="26"/>
              </w:rPr>
              <w:t>Lệ phí : 20 USD</w:t>
              <w:t xml:space="preserve"> (Ghi vào Sổ việc khai tử đã đăng ký tại cơ quan có thẩm quyền của nước ngoài và cấp bản chính trích lục)</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ghi vào sổ hộ tịch trực tiếp thực hiện hoặc ủy quyền cho người khác thực hiện nộp hồ sơ trực tiếp hoặc gửi hồ sơ qua hệ thống bưu chính tới Cơ quan đại diện Việt Nam ở nước ngoài phụ trách khu vực lãnh sự nơi công dân Việt Nam cư trú.
	- Ngoài các cách thực hiện nêu trên, nếu Cơ quan đại diện sử dụng Phần mềm đăng ký, quản lý hộ tịch điện tử dùng chung và kết nối với CSDLQGVDC,  trong điều kiện cơ sở hạ tầng kỹ thuật cho phép, hồ sơ có thể nộp trực tuyến qua môi trường điện tử.
Ngay trong ngày tiếp nhận hồ sơ, trường hợp nhận hồ sơ sau 15 giờ mà không giải quyết được ngay thì trả kết quả trong ngày làm việc tiếp theo. Trong trường hợp phải xác minh thì thời hạn giải quyết không quá 03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ghi vào sổ hộ tịch việc khai tử; Tờ khai ghi vào sổ hộ tịch việc giám hộ, nhận cha mẹ con; Tờ khai ghi vào sổ hộ tịch việc nuôi con nuôi;         Tờ khai ghi vào sổ hộ tịch các việc hộ tịch khác theo mẫu tại Phụ lục Thông tư 04/2020/TT-BTP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Mot so mau khai.doc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tờ chứng minh việc hộ tịch đã được giải quyết tại cơ quan có thẩm quyền của nước ngoài. - Văn bản ủy quyền theo quy định của pháp luật trong trường hợp ủy quyền thực hiện việc ghi chú.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 Văn bản ủy quyền theo quy định của pháp luật trong trường hợp ủy quyền thực hiện việc ghi chú.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có yêu cầu.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chứng minh nơi cư trú để xác định thẩm quyền ghi vào sổ hộ tịch. Trường hợp gửi hồ sơ qua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ghi chú thay đổi hộ tịch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giám hộ.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2025-11-27T16:39:34Z</dcterms:created>
  <dc:creator>Apache POI</dc:creator>
</cp:coreProperties>
</file>