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2.000726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3565/QĐ-NHCS</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phê duyệt cho vay Dự án phát triển ngành Lâm nghiệp vay vốn Ngân hàng thế giới đối với Hộ vay tham gia Tổ Tiết kiệm và vay vốn mức vay trên 50 triệu đồng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 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tín dụng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Người vay.
- Các thành viên hộ gia đình từ đủ 18 tuổi trở lên, có năng lực hành vi dân sự đầy đủ theo quy định của pháp luật, thỏa thuận và lập Giấy ủy quyền (mẫu số 01/UQ) cho 01 trong số các thành viên là đại diện đứng tên người vay và thực hiện các giao dịch với NHCSXH trước sự chứng kiến của Trưởng thôn (Giấy ủy quyền được nộp cho Ban quản lý Tổ Tiết kiệm và vay vốn). 
- Tự nguyện gia nhập Tổ Tiết kiệm và vay vốn (TK&amp;VV) tại nơi cư trú hợp pháp;
- Viết Giấy đề nghị vay vốn kiêm phương án sử dụng vốn vay (mẫu số 01/TD) và kê khai các thông tin vào Sổ vay vốn gửi Ban quản lý Tổ TK&amp;VV. 
- Người vay thực hiện bảo đảm tiền vay theo quy định của NHCSXH.</w:t>
      </w:r>
    </w:p>
    <w:p>
      <w:pPr>
        <w:spacing w:after="0" w:before="0" w:lineRule="auto" w:line="276"/>
        <w:jc w:val="both"/>
      </w:pPr>
      <w:r>
        <w:rPr>
          <w:rFonts w:ascii="Times New Roman" w:hAnsi="Times New Roman" w:cs="Times New Roman" w:eastAsia="Times New Roman"/>
          <w:b w:val="false"/>
          <w:sz w:val="26"/>
        </w:rPr>
        <w:t>Bước 2. Ban quản lý Tổ TK&amp;VV
- Tổ chức họp Tổ TK&amp;VV để bổ sung tổ viên và bình xét cho vay công khai theo Biên bản họp (mẫu số 10C/TD);
-	Lập Danh sách tổ viên đề nghị vay vốn NHCSXH (mẫu số 03/TD) kèm Giấy đề nghị vay vốn kiêm phương án sử dụng vốn vay (mẫu số 01/TD) của các tổ viên Tổ TK&amp;VV trình UBND cấp xã xác nhận; 
- Gửi bộ hồ sơ vay vốn tới NHCSXH nơi thực hiện thủ tục sau khi có xác nhận của UBND cấp xã (đang cư trú hợp pháp, có kinh nghiệm trồng rừng, chấp hành tốt các quy định của pháp luật tại địa phương, không mắc các tệ nạn xã hội) trên Danh sách tổ viên đề nghị vay vốn NHCSXH (mẫu số 03/TD).</w:t>
      </w:r>
    </w:p>
    <w:p>
      <w:pPr>
        <w:spacing w:after="0" w:before="0" w:lineRule="auto" w:line="276"/>
        <w:jc w:val="both"/>
      </w:pPr>
      <w:r>
        <w:rPr>
          <w:rFonts w:ascii="Times New Roman" w:hAnsi="Times New Roman" w:cs="Times New Roman" w:eastAsia="Times New Roman"/>
          <w:b w:val="false"/>
          <w:sz w:val="26"/>
        </w:rPr>
        <w:t>Bước 3. NHCSXH nơi thực hiện thủ tục.
- Xem xét, đối chiếu với từng điều kiện vay vốn Dự án và thẩm định từng trường hợp. Thực hiện kiểm tra độc lập hoặc phối hợp với đơn vị được ủy thác, ủy nhiệm, trường hợp cần thiết có thể phối hợp với UBND cấp xã. Hướng dẫn người vay lập Hợp đồng bảo đảm tiền vay theo quy định;
- Phê duyệt cho vay sau khi đã nhận đủ hồ sơ từ Ban quản lý Tổ TK&amp;VV.
- Gửi Thông báo kết quả phê duyệt cho vay (mẫu số 04/TD) tới UBND cấp xã để thông báo đến người vay.</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03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Người vay nộp Giấy đề nghị vay vốn kiêm phương án sử dụng vốn vay (mẫu số 01/TD) và Sổ vay vốn trực tiếp tới Ban quản lý Tổ TK&amp;VV nơi người vay cư trú hợp pháp.
Trong thời hạn không quá 03 (ba) ngày làm việc kể từ ngày NHCSXH nơi thực hiện thủ tục nhận được bộ hồ sơ đầy đủ, hợp lệ từ Ban quản lý Tổ TK&amp;VV.</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 Ban quản lý Tổ TK&amp;VV lập:</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Danh sách tổ viên đề nghị vay vốn NHCSXH (mẫu số 03/TD): 04 bản (Tổ TK&amp;VV lưu 01 bản chính, Tổ chức chính trị - xã hội nhận ủy thác lưu 01 bản sao, NHCSXH nơi thực hiện thủ tục lưu 01 bản chính và 01 bản sao);</w:t>
            </w:r>
          </w:p>
        </w:tc>
        <w:tc>
          <w:p/>
          <w:p>
            <w:pPr>
              <w:spacing w:after="0" w:before="0" w:lineRule="auto" w:line="276"/>
              <w:jc w:val="left"/>
            </w:pPr>
            <w:r>
              <w:rPr>
                <w:rFonts w:ascii="Times New Roman" w:hAnsi="Times New Roman" w:cs="Times New Roman" w:eastAsia="Times New Roman"/>
                <w:b w:val="false"/>
                <w:sz w:val="26"/>
              </w:rPr>
              <w:t>03-TD (VB-3524 ngày 28.4.2023).doc</w:t>
            </w:r>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2</w:t>
            </w:r>
          </w:p>
        </w:tc>
      </w:tr>
      <w:tr>
        <w:tc>
          <w:p/>
          <w:p>
            <w:pPr>
              <w:spacing w:after="0" w:before="0" w:lineRule="auto" w:line="276"/>
              <w:jc w:val="left"/>
            </w:pPr>
            <w:r>
              <w:rPr>
                <w:rFonts w:ascii="Times New Roman" w:hAnsi="Times New Roman" w:cs="Times New Roman" w:eastAsia="Times New Roman"/>
                <w:b w:val="false"/>
                <w:sz w:val="26"/>
              </w:rPr>
              <w:t>+ Biên bản họp Tổ TK&amp;VV đối với trường hợp kết nạp thêm tổ viên mới (mẫu số 10C/TD): 02 bản (01 bản chính lưu Tổ TK&amp;VV, 01 bản sao lưu Ngân hàng).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Giấy tờ có liên quan: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Phiếu báo giá hoặc Phiếu đặt mua hàng (trường hợp khi giải ngân lần đầu); Giấy tờ chứng minh đã mua cây giống của các đơn vị cung cấp cây giống hợp pháp (đối với trường hợp giải ngân lần thứ hai): 01 bản sao (lưu tại NHCSXH nơi thực hiện thủ tục);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Giấy chứng nhận quyền sử dụng đất lâm nghiệp: 01 bản chính (lưu tại NHCSXH nơi thực hiện thủ tục);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Hồ sơ bảo đảm tiền vay theo quy định của NHCSXH.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Người vay kê khai</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Sổ vay vốn: 02 bản chính (01 bản lưu người vay, 01 bản lưu tại NHCSXH nơi thực hiện thủ tục)</w:t>
            </w:r>
          </w:p>
        </w:tc>
        <w:tc>
          <w:p/>
          <w:p>
            <w:pPr>
              <w:spacing w:after="0" w:before="0" w:lineRule="auto" w:line="276"/>
              <w:jc w:val="left"/>
            </w:pPr>
            <w:r>
              <w:rPr>
                <w:rFonts w:ascii="Times New Roman" w:hAnsi="Times New Roman" w:cs="Times New Roman" w:eastAsia="Times New Roman"/>
                <w:b w:val="false"/>
                <w:sz w:val="26"/>
              </w:rPr>
              <w:t>SO-VAY-VON-VB-5589-TDNN-29.12.2017.doc</w:t>
            </w:r>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đề nghị vay vốn kiêm phương án sử dụng vốn vay (mẫu số 01/TD): 01 bản chính (lưu tại NHCSXH nơi thực hiện thủ tục);</w:t>
            </w:r>
          </w:p>
        </w:tc>
        <w:tc>
          <w:p/>
          <w:p>
            <w:pPr>
              <w:spacing w:after="0" w:before="0" w:lineRule="auto" w:line="276"/>
              <w:jc w:val="left"/>
            </w:pPr>
            <w:r>
              <w:rPr>
                <w:rFonts w:ascii="Times New Roman" w:hAnsi="Times New Roman" w:cs="Times New Roman" w:eastAsia="Times New Roman"/>
                <w:b w:val="false"/>
                <w:sz w:val="26"/>
              </w:rPr>
              <w:t>01-TD(SĐ)-VB-5589-29.12.2017.doc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ủy quyền (mẫu số 01/UQ): 02 bản chính (01 bản lưu tại NHCSXH nơi thực hiện thủ tục, 01 bản lưu hộ gia đình vay vốn NHCSXH)</w:t>
            </w:r>
          </w:p>
        </w:tc>
        <w:tc>
          <w:p/>
          <w:p>
            <w:pPr>
              <w:spacing w:after="0" w:before="0" w:lineRule="auto" w:line="276"/>
              <w:jc w:val="left"/>
            </w:pPr>
            <w:r>
              <w:rPr>
                <w:rFonts w:ascii="Times New Roman" w:hAnsi="Times New Roman" w:cs="Times New Roman" w:eastAsia="Times New Roman"/>
                <w:b w:val="false"/>
                <w:sz w:val="26"/>
              </w:rPr>
              <w:t>01-UQ(SĐ)-VB-5650-NHCS-TDNN.doc</w:t>
            </w:r>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Chính sách xã hội</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Ngân hàng Chính sách xã hội</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Ủy ban Nhân dân xã, phường, thị trấn., Các tổ chức chính trị - xã hội</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Thông báo kết quả phê duyệt cho vay (Mẫu số 04/TD)</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720/NHCS-TDNN-HSSV</w:t>
            </w:r>
          </w:p>
        </w:tc>
        <w:tc>
          <w:p/>
          <w:p>
            <w:pPr>
              <w:spacing w:after="0" w:before="0" w:lineRule="auto" w:line="276"/>
              <w:jc w:val="left"/>
            </w:pPr>
            <w:r>
              <w:rPr>
                <w:rFonts w:ascii="Times New Roman" w:hAnsi="Times New Roman" w:cs="Times New Roman" w:eastAsia="Times New Roman"/>
                <w:b w:val="false"/>
                <w:sz w:val="26"/>
              </w:rPr>
              <w:t>	Văn bản số 720/NHCS-TDNN-HSSV</w:t>
            </w:r>
          </w:p>
        </w:tc>
        <w:tc>
          <w:p/>
          <w:p>
            <w:pPr>
              <w:spacing w:after="0" w:before="0" w:lineRule="auto" w:line="276"/>
              <w:jc w:val="left"/>
            </w:pPr>
            <w:r>
              <w:rPr>
                <w:rFonts w:ascii="Times New Roman" w:hAnsi="Times New Roman" w:cs="Times New Roman" w:eastAsia="Times New Roman"/>
                <w:b w:val="false"/>
                <w:sz w:val="26"/>
              </w:rPr>
              <w:t>29-03-2011</w:t>
            </w:r>
          </w:p>
        </w:tc>
        <w:tc>
          <w:p/>
          <w:p>
            <w:pPr>
              <w:spacing w:after="0" w:before="0" w:lineRule="auto" w:line="276"/>
              <w:jc w:val="left"/>
            </w:pPr>
            <w:r>
              <w:rPr>
                <w:rFonts w:ascii="Times New Roman" w:hAnsi="Times New Roman" w:cs="Times New Roman" w:eastAsia="Times New Roman"/>
                <w:b w:val="false"/>
                <w:sz w:val="26"/>
              </w:rPr>
              <w:t>Ngân hàng Chính sách xã hội</w:t>
            </w:r>
          </w:p>
        </w:tc>
      </w:tr>
      <w:tr>
        <w:tc>
          <w:p/>
          <w:p>
            <w:pPr>
              <w:spacing w:after="0" w:before="0" w:lineRule="auto" w:line="276"/>
              <w:jc w:val="left"/>
            </w:pPr>
            <w:r>
              <w:rPr>
                <w:rFonts w:ascii="Times New Roman" w:hAnsi="Times New Roman" w:cs="Times New Roman" w:eastAsia="Times New Roman"/>
                <w:b w:val="false"/>
                <w:sz w:val="26"/>
              </w:rPr>
              <w:t>15/QĐ-HĐQT</w:t>
            </w:r>
          </w:p>
        </w:tc>
        <w:tc>
          <w:p/>
          <w:p>
            <w:pPr>
              <w:spacing w:after="0" w:before="0" w:lineRule="auto" w:line="276"/>
              <w:jc w:val="left"/>
            </w:pPr>
            <w:r>
              <w:rPr>
                <w:rFonts w:ascii="Times New Roman" w:hAnsi="Times New Roman" w:cs="Times New Roman" w:eastAsia="Times New Roman"/>
                <w:b w:val="false"/>
                <w:sz w:val="26"/>
              </w:rPr>
              <w:t>	Quyết định số 15/QĐ-HĐQT</w:t>
            </w:r>
          </w:p>
        </w:tc>
        <w:tc>
          <w:p/>
          <w:p>
            <w:pPr>
              <w:spacing w:after="0" w:before="0" w:lineRule="auto" w:line="276"/>
              <w:jc w:val="left"/>
            </w:pPr>
            <w:r>
              <w:rPr>
                <w:rFonts w:ascii="Times New Roman" w:hAnsi="Times New Roman" w:cs="Times New Roman" w:eastAsia="Times New Roman"/>
                <w:b w:val="false"/>
                <w:sz w:val="26"/>
              </w:rPr>
              <w:t>05-03-2013</w:t>
            </w:r>
          </w:p>
        </w:tc>
        <w:tc>
          <w:p/>
          <w:p>
            <w:pPr>
              <w:spacing w:after="0" w:before="0" w:lineRule="auto" w:line="276"/>
              <w:jc w:val="left"/>
            </w:pPr>
            <w:r>
              <w:rPr>
                <w:rFonts w:ascii="Times New Roman" w:hAnsi="Times New Roman" w:cs="Times New Roman" w:eastAsia="Times New Roman"/>
                <w:b w:val="false"/>
                <w:sz w:val="26"/>
              </w:rPr>
              <w:t>Ngân hàng Chính sách xã hội</w:t>
            </w:r>
          </w:p>
        </w:tc>
      </w:tr>
      <w:tr>
        <w:tc>
          <w:p/>
          <w:p>
            <w:pPr>
              <w:spacing w:after="0" w:before="0" w:lineRule="auto" w:line="276"/>
              <w:jc w:val="left"/>
            </w:pPr>
            <w:r>
              <w:rPr>
                <w:rFonts w:ascii="Times New Roman" w:hAnsi="Times New Roman" w:cs="Times New Roman" w:eastAsia="Times New Roman"/>
                <w:b w:val="false"/>
                <w:sz w:val="26"/>
              </w:rPr>
              <w:t>1004/NHCS-TDNN</w:t>
            </w:r>
          </w:p>
        </w:tc>
        <w:tc>
          <w:p/>
          <w:p>
            <w:pPr>
              <w:spacing w:after="0" w:before="0" w:lineRule="auto" w:line="276"/>
              <w:jc w:val="left"/>
            </w:pPr>
            <w:r>
              <w:rPr>
                <w:rFonts w:ascii="Times New Roman" w:hAnsi="Times New Roman" w:cs="Times New Roman" w:eastAsia="Times New Roman"/>
                <w:b w:val="false"/>
                <w:sz w:val="26"/>
              </w:rPr>
              <w:t>	Văn bản số 1004/NHCS-TDNN</w:t>
            </w:r>
          </w:p>
        </w:tc>
        <w:tc>
          <w:p/>
          <w:p>
            <w:pPr>
              <w:spacing w:after="0" w:before="0" w:lineRule="auto" w:line="276"/>
              <w:jc w:val="left"/>
            </w:pPr>
            <w:r>
              <w:rPr>
                <w:rFonts w:ascii="Times New Roman" w:hAnsi="Times New Roman" w:cs="Times New Roman" w:eastAsia="Times New Roman"/>
                <w:b w:val="false"/>
                <w:sz w:val="26"/>
              </w:rPr>
              <w:t>12-04-2013</w:t>
            </w:r>
          </w:p>
        </w:tc>
        <w:tc>
          <w:p/>
          <w:p>
            <w:pPr>
              <w:spacing w:after="0" w:before="0" w:lineRule="auto" w:line="276"/>
              <w:jc w:val="left"/>
            </w:pPr>
            <w:r>
              <w:rPr>
                <w:rFonts w:ascii="Times New Roman" w:hAnsi="Times New Roman" w:cs="Times New Roman" w:eastAsia="Times New Roman"/>
                <w:b w:val="false"/>
                <w:sz w:val="26"/>
              </w:rPr>
              <w:t>Ngân hàng Chính sách xã hội</w:t>
            </w:r>
          </w:p>
        </w:tc>
      </w:tr>
      <w:tr>
        <w:tc>
          <w:p/>
          <w:p>
            <w:pPr>
              <w:spacing w:after="0" w:before="0" w:lineRule="auto" w:line="276"/>
              <w:jc w:val="left"/>
            </w:pPr>
            <w:r>
              <w:rPr>
                <w:rFonts w:ascii="Times New Roman" w:hAnsi="Times New Roman" w:cs="Times New Roman" w:eastAsia="Times New Roman"/>
                <w:b w:val="false"/>
                <w:sz w:val="26"/>
              </w:rPr>
              <w:t>	91/2015/QH13</w:t>
            </w:r>
          </w:p>
        </w:tc>
        <w:tc>
          <w:p/>
          <w:p>
            <w:pPr>
              <w:spacing w:after="0" w:before="0" w:lineRule="auto" w:line="276"/>
              <w:jc w:val="left"/>
            </w:pPr>
            <w:r>
              <w:rPr>
                <w:rFonts w:ascii="Times New Roman" w:hAnsi="Times New Roman" w:cs="Times New Roman" w:eastAsia="Times New Roman"/>
                <w:b w:val="false"/>
                <w:sz w:val="26"/>
              </w:rPr>
              <w:t>Bộ luật 91/2015/QH13</w:t>
            </w:r>
          </w:p>
        </w:tc>
        <w:tc>
          <w:p/>
          <w:p>
            <w:pPr>
              <w:spacing w:after="0" w:before="0" w:lineRule="auto" w:line="276"/>
              <w:jc w:val="left"/>
            </w:pPr>
            <w:r>
              <w:rPr>
                <w:rFonts w:ascii="Times New Roman" w:hAnsi="Times New Roman" w:cs="Times New Roman" w:eastAsia="Times New Roman"/>
                <w:b w:val="false"/>
                <w:sz w:val="26"/>
              </w:rPr>
              <w:t>24-11-2015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5650/NHCS-TDNN</w:t>
            </w:r>
          </w:p>
        </w:tc>
        <w:tc>
          <w:p/>
          <w:p>
            <w:pPr>
              <w:spacing w:after="0" w:before="0" w:lineRule="auto" w:line="276"/>
              <w:jc w:val="left"/>
            </w:pPr>
            <w:r>
              <w:rPr>
                <w:rFonts w:ascii="Times New Roman" w:hAnsi="Times New Roman" w:cs="Times New Roman" w:eastAsia="Times New Roman"/>
                <w:b w:val="false"/>
                <w:sz w:val="26"/>
              </w:rPr>
              <w:t>Công văn số 5650/NHCS-TDNN</w:t>
            </w:r>
          </w:p>
        </w:tc>
        <w:tc>
          <w:p/>
          <w:p>
            <w:pPr>
              <w:spacing w:after="0" w:before="0" w:lineRule="auto" w:line="276"/>
              <w:jc w:val="left"/>
            </w:pPr>
            <w:r>
              <w:rPr>
                <w:rFonts w:ascii="Times New Roman" w:hAnsi="Times New Roman" w:cs="Times New Roman" w:eastAsia="Times New Roman"/>
                <w:b w:val="false"/>
                <w:sz w:val="26"/>
              </w:rPr>
              <w:t>28-12-2016</w:t>
            </w:r>
          </w:p>
        </w:tc>
        <w:tc>
          <w:p/>
          <w:p>
            <w:pPr>
              <w:spacing w:after="0" w:before="0" w:lineRule="auto" w:line="276"/>
              <w:jc w:val="left"/>
            </w:pPr>
            <w:r>
              <w:rPr>
                <w:rFonts w:ascii="Times New Roman" w:hAnsi="Times New Roman" w:cs="Times New Roman" w:eastAsia="Times New Roman"/>
                <w:b w:val="false"/>
                <w:sz w:val="26"/>
              </w:rPr>
              <w:t>Ngân hàng Chính sách xã hội</w:t>
            </w:r>
          </w:p>
        </w:tc>
      </w:tr>
      <w:tr>
        <w:tc>
          <w:p/>
          <w:p>
            <w:pPr>
              <w:spacing w:after="0" w:before="0" w:lineRule="auto" w:line="276"/>
              <w:jc w:val="left"/>
            </w:pPr>
            <w:r>
              <w:rPr>
                <w:rFonts w:ascii="Times New Roman" w:hAnsi="Times New Roman" w:cs="Times New Roman" w:eastAsia="Times New Roman"/>
                <w:b w:val="false"/>
                <w:sz w:val="26"/>
              </w:rPr>
              <w:t>247/QĐ-NHCS</w:t>
            </w:r>
          </w:p>
        </w:tc>
        <w:tc>
          <w:p/>
          <w:p>
            <w:pPr>
              <w:spacing w:after="0" w:before="0" w:lineRule="auto" w:line="276"/>
              <w:jc w:val="left"/>
            </w:pPr>
            <w:r>
              <w:rPr>
                <w:rFonts w:ascii="Times New Roman" w:hAnsi="Times New Roman" w:cs="Times New Roman" w:eastAsia="Times New Roman"/>
                <w:b w:val="false"/>
                <w:sz w:val="26"/>
              </w:rPr>
              <w:t>Quyết định số 247/QĐ-NHCS</w:t>
            </w:r>
          </w:p>
        </w:tc>
        <w:tc>
          <w:p/>
          <w:p>
            <w:pPr>
              <w:spacing w:after="0" w:before="0" w:lineRule="auto" w:line="276"/>
              <w:jc w:val="left"/>
            </w:pPr>
            <w:r>
              <w:rPr>
                <w:rFonts w:ascii="Times New Roman" w:hAnsi="Times New Roman" w:cs="Times New Roman" w:eastAsia="Times New Roman"/>
                <w:b w:val="false"/>
                <w:sz w:val="26"/>
              </w:rPr>
              <w:t>25-01-2013</w:t>
            </w:r>
          </w:p>
        </w:tc>
        <w:tc>
          <w:p/>
          <w:p>
            <w:pPr>
              <w:spacing w:after="0" w:before="0" w:lineRule="auto" w:line="276"/>
              <w:jc w:val="left"/>
            </w:pPr>
            <w:r>
              <w:rPr>
                <w:rFonts w:ascii="Times New Roman" w:hAnsi="Times New Roman" w:cs="Times New Roman" w:eastAsia="Times New Roman"/>
                <w:b w:val="false"/>
                <w:sz w:val="26"/>
              </w:rPr>
              <w:t>Ngân hàng Chính sách xã hội</w:t>
            </w:r>
          </w:p>
        </w:tc>
      </w:tr>
      <w:tr>
        <w:tc>
          <w:p/>
          <w:p>
            <w:pPr>
              <w:spacing w:after="0" w:before="0" w:lineRule="auto" w:line="276"/>
              <w:jc w:val="left"/>
            </w:pPr>
            <w:r>
              <w:rPr>
                <w:rFonts w:ascii="Times New Roman" w:hAnsi="Times New Roman" w:cs="Times New Roman" w:eastAsia="Times New Roman"/>
                <w:b w:val="false"/>
                <w:sz w:val="26"/>
              </w:rPr>
              <w:t>3953-VN</w:t>
            </w:r>
          </w:p>
        </w:tc>
        <w:tc>
          <w:p/>
          <w:p>
            <w:pPr>
              <w:spacing w:after="0" w:before="0" w:lineRule="auto" w:line="276"/>
              <w:jc w:val="left"/>
            </w:pPr>
            <w:r>
              <w:rPr>
                <w:rFonts w:ascii="Times New Roman" w:hAnsi="Times New Roman" w:cs="Times New Roman" w:eastAsia="Times New Roman"/>
                <w:b w:val="false"/>
                <w:sz w:val="26"/>
              </w:rPr>
              <w:t>Văn bản số 3953-VN</w:t>
            </w:r>
          </w:p>
        </w:tc>
        <w:tc>
          <w:p/>
          <w:p>
            <w:pPr>
              <w:spacing w:after="0" w:before="0" w:lineRule="auto" w:line="276"/>
              <w:jc w:val="left"/>
            </w:pPr>
            <w:r>
              <w:rPr>
                <w:rFonts w:ascii="Times New Roman" w:hAnsi="Times New Roman" w:cs="Times New Roman" w:eastAsia="Times New Roman"/>
                <w:b w:val="false"/>
                <w:sz w:val="26"/>
              </w:rPr>
              <w:t>04-04-2005</w:t>
            </w:r>
          </w:p>
        </w:tc>
        <w:tc>
          <w:p/>
        </w:tc>
      </w:tr>
      <w:tr>
        <w:tc>
          <w:p/>
          <w:p>
            <w:pPr>
              <w:spacing w:after="0" w:before="0" w:lineRule="auto" w:line="276"/>
              <w:jc w:val="left"/>
            </w:pPr>
            <w:r>
              <w:rPr>
                <w:rFonts w:ascii="Times New Roman" w:hAnsi="Times New Roman" w:cs="Times New Roman" w:eastAsia="Times New Roman"/>
                <w:b w:val="false"/>
                <w:sz w:val="26"/>
              </w:rPr>
              <w:t>3953-VN (Khoản Tín dụng vay phụ)</w:t>
            </w:r>
          </w:p>
        </w:tc>
        <w:tc>
          <w:p/>
          <w:p>
            <w:pPr>
              <w:spacing w:after="0" w:before="0" w:lineRule="auto" w:line="276"/>
              <w:jc w:val="left"/>
            </w:pPr>
            <w:r>
              <w:rPr>
                <w:rFonts w:ascii="Times New Roman" w:hAnsi="Times New Roman" w:cs="Times New Roman" w:eastAsia="Times New Roman"/>
                <w:b w:val="false"/>
                <w:sz w:val="26"/>
              </w:rPr>
              <w:t>Văn bản số 3953-VN (Khoản Tín dụng vay phụ)</w:t>
            </w:r>
          </w:p>
        </w:tc>
        <w:tc>
          <w:p/>
          <w:p>
            <w:pPr>
              <w:spacing w:after="0" w:before="0" w:lineRule="auto" w:line="276"/>
              <w:jc w:val="left"/>
            </w:pPr>
            <w:r>
              <w:rPr>
                <w:rFonts w:ascii="Times New Roman" w:hAnsi="Times New Roman" w:cs="Times New Roman" w:eastAsia="Times New Roman"/>
                <w:b w:val="false"/>
                <w:sz w:val="26"/>
              </w:rPr>
              <w:t>28-04-2005</w:t>
            </w:r>
          </w:p>
        </w:tc>
        <w:tc>
          <w:p/>
        </w:tc>
      </w:tr>
      <w:tr>
        <w:tc>
          <w:p/>
          <w:p>
            <w:pPr>
              <w:spacing w:after="0" w:before="0" w:lineRule="auto" w:line="276"/>
              <w:jc w:val="left"/>
            </w:pPr>
            <w:r>
              <w:rPr>
                <w:rFonts w:ascii="Times New Roman" w:hAnsi="Times New Roman" w:cs="Times New Roman" w:eastAsia="Times New Roman"/>
                <w:b w:val="false"/>
                <w:sz w:val="26"/>
              </w:rPr>
              <w:t>5070 - VN</w:t>
            </w:r>
          </w:p>
        </w:tc>
        <w:tc>
          <w:p/>
          <w:p>
            <w:pPr>
              <w:spacing w:after="0" w:before="0" w:lineRule="auto" w:line="276"/>
              <w:jc w:val="left"/>
            </w:pPr>
            <w:r>
              <w:rPr>
                <w:rFonts w:ascii="Times New Roman" w:hAnsi="Times New Roman" w:cs="Times New Roman" w:eastAsia="Times New Roman"/>
                <w:b w:val="false"/>
                <w:sz w:val="26"/>
              </w:rPr>
              <w:t>Văn bản số 5070 - VN</w:t>
            </w:r>
          </w:p>
        </w:tc>
        <w:tc>
          <w:p/>
          <w:p>
            <w:pPr>
              <w:spacing w:after="0" w:before="0" w:lineRule="auto" w:line="276"/>
              <w:jc w:val="left"/>
            </w:pPr>
            <w:r>
              <w:rPr>
                <w:rFonts w:ascii="Times New Roman" w:hAnsi="Times New Roman" w:cs="Times New Roman" w:eastAsia="Times New Roman"/>
                <w:b w:val="false"/>
                <w:sz w:val="26"/>
              </w:rPr>
              <w:t>15-06-2012</w:t>
            </w:r>
          </w:p>
        </w:tc>
        <w:tc>
          <w:p/>
        </w:tc>
      </w:tr>
      <w:tr>
        <w:tc>
          <w:p/>
          <w:p>
            <w:pPr>
              <w:spacing w:after="0" w:before="0" w:lineRule="auto" w:line="276"/>
              <w:jc w:val="left"/>
            </w:pPr>
            <w:r>
              <w:rPr>
                <w:rFonts w:ascii="Times New Roman" w:hAnsi="Times New Roman" w:cs="Times New Roman" w:eastAsia="Times New Roman"/>
                <w:b w:val="false"/>
                <w:sz w:val="26"/>
              </w:rPr>
              <w:t>5070-VN</w:t>
            </w:r>
          </w:p>
        </w:tc>
        <w:tc>
          <w:p/>
          <w:p>
            <w:pPr>
              <w:spacing w:after="0" w:before="0" w:lineRule="auto" w:line="276"/>
              <w:jc w:val="left"/>
            </w:pPr>
            <w:r>
              <w:rPr>
                <w:rFonts w:ascii="Times New Roman" w:hAnsi="Times New Roman" w:cs="Times New Roman" w:eastAsia="Times New Roman"/>
                <w:b w:val="false"/>
                <w:sz w:val="26"/>
              </w:rPr>
              <w:t>Văn bản số 5070-VN</w:t>
            </w:r>
          </w:p>
        </w:tc>
        <w:tc>
          <w:p/>
          <w:p>
            <w:pPr>
              <w:spacing w:after="0" w:before="0" w:lineRule="auto" w:line="276"/>
              <w:jc w:val="left"/>
            </w:pPr>
            <w:r>
              <w:rPr>
                <w:rFonts w:ascii="Times New Roman" w:hAnsi="Times New Roman" w:cs="Times New Roman" w:eastAsia="Times New Roman"/>
                <w:b w:val="false"/>
                <w:sz w:val="26"/>
              </w:rPr>
              <w:t>26-11-2012</w:t>
            </w:r>
          </w:p>
        </w:tc>
        <w:tc>
          <w:p/>
        </w:tc>
      </w:tr>
      <w:tr>
        <w:tc>
          <w:p/>
          <w:p>
            <w:pPr>
              <w:spacing w:after="0" w:before="0" w:lineRule="auto" w:line="276"/>
              <w:jc w:val="left"/>
            </w:pPr>
            <w:r>
              <w:rPr>
                <w:rFonts w:ascii="Times New Roman" w:hAnsi="Times New Roman" w:cs="Times New Roman" w:eastAsia="Times New Roman"/>
                <w:b w:val="false"/>
                <w:sz w:val="26"/>
              </w:rPr>
              <w:t>Cẩm nang Tín dụng</w:t>
            </w:r>
          </w:p>
        </w:tc>
        <w:tc>
          <w:p/>
          <w:p>
            <w:pPr>
              <w:spacing w:after="0" w:before="0" w:lineRule="auto" w:line="276"/>
              <w:jc w:val="left"/>
            </w:pPr>
            <w:r>
              <w:rPr>
                <w:rFonts w:ascii="Times New Roman" w:hAnsi="Times New Roman" w:cs="Times New Roman" w:eastAsia="Times New Roman"/>
                <w:b w:val="false"/>
                <w:sz w:val="26"/>
              </w:rPr>
              <w:t>Văn bản số Cẩm nang Tín dụng</w:t>
            </w:r>
          </w:p>
        </w:tc>
        <w:tc>
          <w:p/>
          <w:p>
            <w:pPr>
              <w:spacing w:after="0" w:before="0" w:lineRule="auto" w:line="276"/>
              <w:jc w:val="left"/>
            </w:pPr>
            <w:r>
              <w:rPr>
                <w:rFonts w:ascii="Times New Roman" w:hAnsi="Times New Roman" w:cs="Times New Roman" w:eastAsia="Times New Roman"/>
                <w:b w:val="false"/>
                <w:sz w:val="26"/>
              </w:rPr>
              <w:t>25-01-2013</w:t>
            </w:r>
          </w:p>
        </w:tc>
        <w:tc>
          <w:p/>
        </w:tc>
      </w:tr>
      <w:tr>
        <w:tc>
          <w:p/>
          <w:p>
            <w:pPr>
              <w:spacing w:after="0" w:before="0" w:lineRule="auto" w:line="276"/>
              <w:jc w:val="left"/>
            </w:pPr>
            <w:r>
              <w:rPr>
                <w:rFonts w:ascii="Times New Roman" w:hAnsi="Times New Roman" w:cs="Times New Roman" w:eastAsia="Times New Roman"/>
                <w:b w:val="false"/>
                <w:sz w:val="26"/>
              </w:rPr>
              <w:t>3210/QĐ-NHCS</w:t>
            </w:r>
          </w:p>
        </w:tc>
        <w:tc>
          <w:p/>
          <w:p>
            <w:pPr>
              <w:spacing w:after="0" w:before="0" w:lineRule="auto" w:line="276"/>
              <w:jc w:val="left"/>
            </w:pPr>
            <w:r>
              <w:rPr>
                <w:rFonts w:ascii="Times New Roman" w:hAnsi="Times New Roman" w:cs="Times New Roman" w:eastAsia="Times New Roman"/>
                <w:b w:val="false"/>
                <w:sz w:val="26"/>
              </w:rPr>
              <w:t>Văn bản số 3210/QĐ-NHCS</w:t>
            </w:r>
          </w:p>
        </w:tc>
        <w:tc>
          <w:p/>
          <w:p>
            <w:pPr>
              <w:spacing w:after="0" w:before="0" w:lineRule="auto" w:line="276"/>
              <w:jc w:val="left"/>
            </w:pPr>
            <w:r>
              <w:rPr>
                <w:rFonts w:ascii="Times New Roman" w:hAnsi="Times New Roman" w:cs="Times New Roman" w:eastAsia="Times New Roman"/>
                <w:b w:val="false"/>
                <w:sz w:val="26"/>
              </w:rPr>
              <w:t>23-09-2015</w:t>
            </w:r>
          </w:p>
        </w:tc>
        <w:tc>
          <w:p/>
        </w:tc>
      </w:tr>
      <w:tr>
        <w:tc>
          <w:p/>
          <w:p>
            <w:pPr>
              <w:spacing w:after="0" w:before="0" w:lineRule="auto" w:line="276"/>
              <w:jc w:val="left"/>
            </w:pPr>
            <w:r>
              <w:rPr>
                <w:rFonts w:ascii="Times New Roman" w:hAnsi="Times New Roman" w:cs="Times New Roman" w:eastAsia="Times New Roman"/>
                <w:b w:val="false"/>
                <w:sz w:val="26"/>
              </w:rPr>
              <w:t>104/2022/NĐ-CP</w:t>
            </w:r>
          </w:p>
        </w:tc>
        <w:tc>
          <w:p/>
          <w:p>
            <w:pPr>
              <w:spacing w:after="0" w:before="0" w:lineRule="auto" w:line="276"/>
              <w:jc w:val="left"/>
            </w:pPr>
            <w:r>
              <w:rPr>
                <w:rFonts w:ascii="Times New Roman" w:hAnsi="Times New Roman" w:cs="Times New Roman" w:eastAsia="Times New Roman"/>
                <w:b w:val="false"/>
                <w:sz w:val="26"/>
              </w:rPr>
              <w:t>Nghị định sửa đổi, bổ sung một số điều của các nghị định liên quan đến việc nộp, xuất trình sổ hộ khẩu, sổ tạm trú giấy khi thực hiện thủ tục hành chính, cung cấp dịch vụ công</w:t>
            </w:r>
          </w:p>
        </w:tc>
        <w:tc>
          <w:p/>
          <w:p>
            <w:pPr>
              <w:spacing w:after="0" w:before="0" w:lineRule="auto" w:line="276"/>
              <w:jc w:val="left"/>
            </w:pPr>
            <w:r>
              <w:rPr>
                <w:rFonts w:ascii="Times New Roman" w:hAnsi="Times New Roman" w:cs="Times New Roman" w:eastAsia="Times New Roman"/>
                <w:b w:val="false"/>
                <w:sz w:val="26"/>
              </w:rPr>
              <w:t>21-12-2022</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3524/NHCS-TDNN</w:t>
            </w:r>
          </w:p>
        </w:tc>
        <w:tc>
          <w:p/>
          <w:p>
            <w:pPr>
              <w:spacing w:after="0" w:before="0" w:lineRule="auto" w:line="276"/>
              <w:jc w:val="left"/>
            </w:pPr>
            <w:r>
              <w:rPr>
                <w:rFonts w:ascii="Times New Roman" w:hAnsi="Times New Roman" w:cs="Times New Roman" w:eastAsia="Times New Roman"/>
                <w:b w:val="false"/>
                <w:sz w:val="26"/>
              </w:rPr>
              <w:t>V/v sửa đổi một số nội dung nghiệp vụ cho vay đối với hộ nghèo và các đối tượng chính sách khác.</w:t>
            </w:r>
          </w:p>
        </w:tc>
        <w:tc>
          <w:p/>
          <w:p>
            <w:pPr>
              <w:spacing w:after="0" w:before="0" w:lineRule="auto" w:line="276"/>
              <w:jc w:val="left"/>
            </w:pPr>
            <w:r>
              <w:rPr>
                <w:rFonts w:ascii="Times New Roman" w:hAnsi="Times New Roman" w:cs="Times New Roman" w:eastAsia="Times New Roman"/>
                <w:b w:val="false"/>
                <w:sz w:val="26"/>
              </w:rPr>
              <w:t>28-04-2023</w:t>
            </w:r>
          </w:p>
        </w:tc>
        <w:tc>
          <w:p/>
          <w:p>
            <w:pPr>
              <w:spacing w:after="0" w:before="0" w:lineRule="auto" w:line="276"/>
              <w:jc w:val="left"/>
            </w:pPr>
            <w:r>
              <w:rPr>
                <w:rFonts w:ascii="Times New Roman" w:hAnsi="Times New Roman" w:cs="Times New Roman" w:eastAsia="Times New Roman"/>
                <w:b w:val="false"/>
                <w:sz w:val="26"/>
              </w:rPr>
              <w:t>Ngân hàng Chính sách xã hội</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Thuộc nhóm khách hàng mục tiêu: Hộ gia đình tham gia trồng, chăm sóc rừng trồng của dự án
- Cư trú hợp pháp tại xã thực hiện Dự án (là nơi người vay thường xuyên sinh sống. Trường hợp không xác định được nơi cư trú của người vay vốn theo quy định thì nơi cư trú là nơi người vay đang sinh sống được UBND xã xác nhận);
- Đã được cấp Giấy chứng nhận quyền sử dụng đất trồng rừng (cấp mới lần đầu hoặc đã được đứng tên trên giấy chứng nhận quyền sử dụng đất trồng rừng sau khi nhận chuyển nhượng) đối với diện tích đất sẽ trồng hoặc chăm sóc rừng sản xuất bằng vốn vay; 
- Mục đích vay vốn phù hợp với quy định của dự án;
- Có khả năng tài chính để chi trả khoản nợ trong thời gian cam kết. Không có nợ quá hạn trên 6 tháng hoặc nợ khó đòi tại NHCSXH nơi thực hiện thủ tục;
- Có vốn tự có tham gia tối thiểu 25% chi phí của phương án sử dụng vốn dưới các hình thức: bằng tiền, hiện vật hoặc nhân công; NHCSXH cho vay: tối đa 75% chi phí của mỗi phương án sử dụng vốn.
- Phương án sử dụng vốn vay phù hợp với diện tích đất lâm nghiệp hiện có của hộ gia đình, có hiệu quả, đảm bảo khả năng trả nợ. Việc trồng, chăm sóc rừng phù hợp với mô hình trồng rừng đề xuất của Bộ Nông nghiệp và phát triển nông thôn cung cấp từng thời kỳ;
- Thực hiện biện pháp bảo đảm tiền vay theo quy định của pháp luật và theo văn bản hướng dẫn hiện hành của NHCSXH. Tài sản bảo đảm để thực hiện nghĩa vụ bảo đảm khi vay vốn dự án, gồm:
+ Giấy chứng nhận quyền sử dụng đất lâm nghiệp;
+ Tài sản hình thành trong tương lai là cây rừng các loại và các sản phẩm, hoa lợi khác gắn liền với đất lâm nghiệp được giao;
+ Trường hợp hai loại tài sản trên không đủ giá trị tài sản làm bảo đảm tiền vay khách hàng có thể dùng bổ sung tài sản khác của mình hoặc được người khác thực hiện nghĩa vụ bảo đảm để vay vốn.
- Đối với trường hợp vay vốn để tiếp tục trồng, chăm sóc rừng đã được trồng trước đây hoặc rừng đã nhận chuyển nhượng thì diện tích rừng đã trồng trước đây đã được kiểm tra bởi cán bộ NHCSXH hoặc bởi đơn vị được NHCSXH ủy nhiệm, ủy thác.
- Đối với trường hợp hộ đã trồng rừng sản xuất gỗ ván dăm hiện tại (luân kỳ thông thường 7 năm), kéo dài thêm thời gian chăm sóc nuôi dưỡng bảo vệ để chuyển thành rừng trồng lấy gỗ xẻ (luân kỳ dài 15 năm) được xem xét cho vay bổ sung với tổng thời hạn cho vay tối đa là 15 năm và đáp ứng thêm điều kiện so với các trường hợp trên, đó là: Được kiểm tra tối thiểu 2 lần bởi cán bộ NHCSXH hoặc của đơn vị được NHCSXH ủy nhiệm, ủy thác (đối với cho vay bổ sung với mô hình chuyển đổi).</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https://thutuc.dichvucong.gov.vn/p/home/dvc-tthc-thu-tuc-hanh-chinh-chi-tiet.html?ma_thu_tuc=2323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2025-11-27T16:40:15Z</dcterms:created>
  <dc:creator>Apache POI</dc:creator>
</cp:coreProperties>
</file>