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Người hưởng lĩnh chế độ bảo hiểm xã hội bằng tiền mặt chuyển sang lĩnh bằng tài khoản cá nhân và ngược lại, hoặc thay đổi thông tin cá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Chi trả các chế độ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Người hưởng lập theo quy định tại mục Thành phần hồ sơ; nộp hồ sơ cho cơ quan bưu điện hoặc cơ quan BHXH, ghi rõ: Số tài khoản cá nhân (hoặc thẻ ATM), ngân hàng nơi mở tài khoản; hoặc nơi nhận chế độ BHXH hàng tháng mới. Nếu có chi phí phát hành thẻ ATM lần đầu, người hưởng nộp chứng từ cho Bưu điện tỉnh hoặc Bưu điện huyện để thanh toán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Người hưởng lĩnh phí phát hành thẻ ATM (trong trường hợp phát hành thẻ ATM lần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khi cơ quan BHXH nhận được hồ sơ
1. Nộp hồ sơ: người hưởng nộp hồ sơ tại cơ quan BHXH hoặc các điểm chi trả; 
2. Nhận kết quả: người hưởng nhận phí phát hành thẻ ATM tại Bưu điện tỉnh hoặc Bưu điện huyện (nơi nộp chứng từ thu phí phát hành thẻ ATM lần đầu) ngay trong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khi cơ quan BHXH nhận được hồ sơ
1. Nộp hồ sơ: người hưởng nộp hồ sơ cho cơ quan BHXH thông qua dịch vụ bưu chính công ích.
2. Nhận kết quả: người hưởng nhận phí phát hành thẻ ATM tại Bưu điện tỉnh hoặc Bưu điện huyện (nơi nộp chứng từ thu phí phát hành thẻ ATM lần đầu) ngay trong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thay đổi thông tin người hưởng (mẫu số 2-CBH)</w:t>
            </w:r>
          </w:p>
        </w:tc>
        <w:tc>
          <w:p/>
          <w:p>
            <w:pPr>
              <w:spacing w:after="0" w:before="0" w:lineRule="auto" w:line="276"/>
              <w:jc w:val="left"/>
            </w:pPr>
            <w:r>
              <w:rPr>
                <w:rFonts w:ascii="Times New Roman" w:hAnsi="Times New Roman" w:cs="Times New Roman" w:eastAsia="Times New Roman"/>
                <w:b w:val="false"/>
                <w:sz w:val="26"/>
              </w:rPr>
              <w:t>02_CBH.docx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thu phí mở tài khoản cá nhân lần đầu của Ngân hàng nơi người hưởng mở tài khoản.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hưởng được thay đổi thông tin cá nhân và được nhận tiền theo hình thức đăng ký (bằng tiền mặt hoặc qua tài khoản cá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2025-11-27T16:40:47Z</dcterms:created>
  <dc:creator>Apache POI</dc:creator>
</cp:coreProperties>
</file>