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1061/QĐ-BNG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xác nhận có quốc tịch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Quốc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có nhu cầu xác nhận có quốc tịch Việt Nam, người yêu cầu có thể nộp hồ sơ đến cơ quan đại diện Việt Nam ở nước ngoài nơi người đó cư trú (trong trường hợp ở nước đó không có cơ quan đại diện thì nộp hồ sơ tại cơ quan đại diện kiêm nhiệm hoặc cơ quan đại diện nơi thuận tiện nhất).</w:t>
      </w:r>
    </w:p>
    <w:p>
      <w:pPr>
        <w:spacing w:after="0" w:before="0" w:lineRule="auto" w:line="276"/>
        <w:jc w:val="both"/>
      </w:pPr>
      <w:r>
        <w:rPr>
          <w:rFonts w:ascii="Times New Roman" w:hAnsi="Times New Roman" w:cs="Times New Roman" w:eastAsia="Times New Roman"/>
          <w:b w:val="false"/>
          <w:sz w:val="26"/>
        </w:rPr>
        <w:t>Cơ quan đại diện Việt Nam ở nước ngoài chủ động kiểm tra, đối chiếu danh sách những người đã được thôi quốc tịch Việt Nam hoặc bị tước quốc tịch Việt Nam. Trường hợp khẳng định người yêu cầu có quốc tịch Việt Nam thì trong thời hạn 05 ngày làm việc, kể từ ngày nhận được hồ sơ, cơ quan đại diện Việt Nam ở nước ngoài xem xét và cấp Giấy xác nhận có quốc tịch Việt Nam (theo mẫu TP/QT-2013-GXNCQTVN);</w:t>
      </w:r>
    </w:p>
    <w:p>
      <w:pPr>
        <w:spacing w:after="0" w:before="0" w:lineRule="auto" w:line="276"/>
        <w:jc w:val="both"/>
      </w:pPr>
      <w:r>
        <w:rPr>
          <w:rFonts w:ascii="Times New Roman" w:hAnsi="Times New Roman" w:cs="Times New Roman" w:eastAsia="Times New Roman"/>
          <w:b w:val="false"/>
          <w:sz w:val="26"/>
        </w:rPr>
        <w:t>Trường hợp không có đủ giấy tờ chứng minh quốc tịch Việt Nam, cơ quan đại diện Việt Nam ở nước ngoài tiến hành thủ tục xác minh quốc tịch Việt Nam -Trường hợp nghi ngờ tính xác thực của giấy tờ trong hồ sơ, cơ quan đại diện Việt Nam ở nước ngoài đề nghị các cơ quan, tổ chức liên quan tra cứu, kiểm tra, xác minh;</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văn bản đề nghị tra cứu, kiểm tra, xác minh, Bộ Tư pháp hoặc cơ quan, tổ chức liên quan có văn bản trả lời. Trong thời hạn 05 ngày làm việc, kể từ ngày nhận được kết quả tra cứu, kiểm tra, xác minh, cơ quan đại diện Việt Nam ở nước ngoài xem xét và cấp Giấy xác nhận có quốc tịch Việt Nam (theo mẫu TP/QT-2013-GXNCQTVN) nếu xác định được người yêu cầu đang có quốc tịch Việt Nam.</w:t>
      </w:r>
    </w:p>
    <w:p>
      <w:pPr>
        <w:spacing w:after="0" w:before="0" w:lineRule="auto" w:line="276"/>
        <w:jc w:val="both"/>
      </w:pPr>
      <w:r>
        <w:rPr>
          <w:rFonts w:ascii="Times New Roman" w:hAnsi="Times New Roman" w:cs="Times New Roman" w:eastAsia="Times New Roman"/>
          <w:b w:val="false"/>
          <w:sz w:val="26"/>
        </w:rPr>
        <w:t>Trường hợp sau khi tiến hành tra cứu, kiểm tra, xác minh, vẫn không có đủ cơ sở để xác định người yêu cầu có quốc tịch Việt Nam thì cơ quan tiếp nhận hồ sơ thông báo bằng văn bản cho người đó biết.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t>Lệ phí : 20  USD</w:t>
              <w:t xml:space="preserve"> (Cấp giấy xác nhận có quốc tịch Việt Nam)</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xác nhận có quốc tịch Việt Nam</w:t>
            </w:r>
          </w:p>
        </w:tc>
        <w:tc>
          <w:p/>
          <w:p>
            <w:pPr>
              <w:spacing w:after="0" w:before="0" w:lineRule="auto" w:line="276"/>
              <w:jc w:val="left"/>
            </w:pPr>
            <w:r>
              <w:rPr>
                <w:rFonts w:ascii="Times New Roman" w:hAnsi="Times New Roman" w:cs="Times New Roman" w:eastAsia="Times New Roman"/>
                <w:b w:val="false"/>
                <w:sz w:val="26"/>
              </w:rPr>
              <w:t>Mau dang ky xac nhan lai quoc tich Viet Nam.doc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minh nhân dân, hộ chiếu hoặc giấy tờ có giá trị thay thế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theo bản chính để đối chiếu hoặc bản sao có chứng thực một trong các giấy tờ được quy định tại Điều 11 Luật Quốc tịch Việt Nam năm 2008 hoặc giấy tờ tương tự do chính quyền cũ trước đây cấp, kể cả giấy khai sinh trong đó không có mục quốc tịch hoặc mục quốc tịch bỏ trống nếu trên đó ghi họ tên Việt Nam (họ tên người yêu cầu, họ tên cha, mẹ)</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khai lý lịch và các giấy tờ quy định tại khoản 1 Điều 10 Thông tư liên tịch số 05/2010/TTLT/BTP-BNG-BCA trong trường hợp không có giấy tờ chứng minh quốc tịch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 Cơ quan lãnh sự</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có quốc tịch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05/2010/TTLT/BTP-BNG-BCA	</w:t>
            </w:r>
          </w:p>
        </w:tc>
        <w:tc>
          <w:p/>
          <w:p>
            <w:pPr>
              <w:spacing w:after="0" w:before="0" w:lineRule="auto" w:line="276"/>
              <w:jc w:val="left"/>
            </w:pPr>
            <w:r>
              <w:rPr>
                <w:rFonts w:ascii="Times New Roman" w:hAnsi="Times New Roman" w:cs="Times New Roman" w:eastAsia="Times New Roman"/>
                <w:b w:val="false"/>
                <w:sz w:val="26"/>
              </w:rPr>
              <w:t>Thông tư liên tịch 05/2010/TTLT/BTP-BNG-BCA</w:t>
            </w:r>
          </w:p>
        </w:tc>
        <w:tc>
          <w:p/>
          <w:p>
            <w:pPr>
              <w:spacing w:after="0" w:before="0" w:lineRule="auto" w:line="276"/>
              <w:jc w:val="left"/>
            </w:pPr>
            <w:r>
              <w:rPr>
                <w:rFonts w:ascii="Times New Roman" w:hAnsi="Times New Roman" w:cs="Times New Roman" w:eastAsia="Times New Roman"/>
                <w:b w:val="false"/>
                <w:sz w:val="26"/>
              </w:rPr>
              <w:t>01-03-2010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05/2013/TTLT-BTP-BNG-BCA</w:t>
            </w:r>
          </w:p>
        </w:tc>
        <w:tc>
          <w:p/>
          <w:p>
            <w:pPr>
              <w:spacing w:after="0" w:before="0" w:lineRule="auto" w:line="276"/>
              <w:jc w:val="left"/>
            </w:pPr>
            <w:r>
              <w:rPr>
                <w:rFonts w:ascii="Times New Roman" w:hAnsi="Times New Roman" w:cs="Times New Roman" w:eastAsia="Times New Roman"/>
                <w:b w:val="false"/>
                <w:sz w:val="26"/>
              </w:rPr>
              <w:t>Thông tư liên tịch 05/2013/TTLT-BTP-BNG-BCA</w:t>
            </w:r>
          </w:p>
        </w:tc>
        <w:tc>
          <w:p/>
          <w:p>
            <w:pPr>
              <w:spacing w:after="0" w:before="0" w:lineRule="auto" w:line="276"/>
              <w:jc w:val="left"/>
            </w:pPr>
            <w:r>
              <w:rPr>
                <w:rFonts w:ascii="Times New Roman" w:hAnsi="Times New Roman" w:cs="Times New Roman" w:eastAsia="Times New Roman"/>
                <w:b w:val="false"/>
                <w:sz w:val="26"/>
              </w:rPr>
              <w:t>31-01-2013</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56/2014/QH13</w:t>
            </w:r>
          </w:p>
        </w:tc>
        <w:tc>
          <w:p/>
          <w:p>
            <w:pPr>
              <w:spacing w:after="0" w:before="0" w:lineRule="auto" w:line="276"/>
              <w:jc w:val="left"/>
            </w:pPr>
            <w:r>
              <w:rPr>
                <w:rFonts w:ascii="Times New Roman" w:hAnsi="Times New Roman" w:cs="Times New Roman" w:eastAsia="Times New Roman"/>
                <w:b w:val="false"/>
                <w:sz w:val="26"/>
              </w:rPr>
              <w:t>Luật 56/2014/QH13</w:t>
            </w:r>
          </w:p>
        </w:tc>
        <w:tc>
          <w:p/>
          <w:p>
            <w:pPr>
              <w:spacing w:after="0" w:before="0" w:lineRule="auto" w:line="276"/>
              <w:jc w:val="left"/>
            </w:pPr>
            <w:r>
              <w:rPr>
                <w:rFonts w:ascii="Times New Roman" w:hAnsi="Times New Roman" w:cs="Times New Roman" w:eastAsia="Times New Roman"/>
                <w:b w:val="false"/>
                <w:sz w:val="26"/>
              </w:rPr>
              <w:t>24-06-2014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7/2014/NĐ-CP</w:t>
            </w:r>
          </w:p>
        </w:tc>
        <w:tc>
          <w:p/>
          <w:p>
            <w:pPr>
              <w:spacing w:after="0" w:before="0" w:lineRule="auto" w:line="276"/>
              <w:jc w:val="left"/>
            </w:pPr>
            <w:r>
              <w:rPr>
                <w:rFonts w:ascii="Times New Roman" w:hAnsi="Times New Roman" w:cs="Times New Roman" w:eastAsia="Times New Roman"/>
                <w:b w:val="false"/>
                <w:sz w:val="26"/>
              </w:rPr>
              <w:t>Nghị định 97/2014/NĐ-CP</w:t>
            </w:r>
          </w:p>
        </w:tc>
        <w:tc>
          <w:p/>
          <w:p>
            <w:pPr>
              <w:spacing w:after="0" w:before="0" w:lineRule="auto" w:line="276"/>
              <w:jc w:val="left"/>
            </w:pPr>
            <w:r>
              <w:rPr>
                <w:rFonts w:ascii="Times New Roman" w:hAnsi="Times New Roman" w:cs="Times New Roman" w:eastAsia="Times New Roman"/>
                <w:b w:val="false"/>
                <w:sz w:val="26"/>
              </w:rPr>
              <w:t>17-10-2014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yêu cầu nộp hồ sơ đến cơ quan đại diện Việt Nam ở nước ngoài nơi người đó cư trú (trong trường hợp ở nước đó không có cơ quan đại diện thì nộp hồ sơ tại cơ quan đại diện kiêm nhiệm hoặc cơ quan đại diện nơi thuận tiện nhất).
- Trường hợp không có đủ giấy tờ chứng minh quốc tịch Việt Nam, cơ quan đại diện Việt Nam ở nước ngoài tiến hành thủ tục xác minh quốc tịch Việt Nam -Trường hợp nghi ngờ tính xác thực của giấy tờ trong hồ sơ, cơ quan đại diện Việt Nam ở nước ngoài đề nghị các cơ quan, tổ chức liên quan tra cứu, kiểm tra, xác minh.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2025-11-27T16:40:57Z</dcterms:created>
  <dc:creator>Apache POI</dc:creator>
</cp:coreProperties>
</file>