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hưởng trợ cấp một lần đối với người đang hưởng lương hưu, trợ cấp BHXH hàng tháng ra nước ngoài để định cư và công dân nước ngoài đang hưởng lương hưu, trợ cấp BHXH hàng tháng không còn cư trú ở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Người hưởng lập hồ sơ theo quy định tại mục 11.3 (Thành phần hồ sơ) và nộp cho cơ quan BHXH nơi đang chi trả lương hưu, trợ cấp BHXH hàng tháng.</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Người hưởng nhận Quyết định về việc hưởng trợ cấp một lần và tiền trợ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Người hưởng nộp hồ sơ trực tiếp tại cơ quan BHXH hoặc Trung tâm phục vụ HCC các cấp (nếu có).
2. Nhận kết quả: Người hưởng nhận:
- Hồ sơ giấy tờ liên quan: Theo hình thức đã đăng ký nhận hồ sơ (Trực tiếp tại cơ quan BHXH/Trung tâm phục vụ HCC các cấp hoặc qua dịch vụ bưu chính công ích hoặc qua giao dịch điện tử).
- Tiền trợ cấp bằng một trong các hình thức sau:
+ Thông qua tài khoản cá nhân.
+ Bằng tiền mặt tại cơ quan BHXH.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Người hưởng nộp hồ sơ qua Trực tuyến (trường hợp hồ sơ giấy không chuyển đổi được sang hồ sơ điện tử thì đơn vị gửi hồ sơ giấy về cơ quan BHXH qua dịch vụ bưu chính công ích).
2. Nhận kết quả: Người hưởng nhận:
- Hồ sơ giấy tờ liên quan: Theo hình thức đã đăng ký nhận hồ sơ (Trực tiếp tại cơ quan BHXH/Trung tâm phục vụ HCC các cấp hoặc qua dịch vụ bưu chính công ích hoặc qua giao dịch điện tử).
- Tiền trợ cấp bằng một trong các hình thức sau:
+ Thông qua tài khoản cá nhân.
+ Bằng tiền mặt tại cơ quan BHXH.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Người hưởng nộp hồ sơ qua dịch vụ bưu chính công ích;
2. Nhận kết quả: Người hưởng nhận:
- Hồ sơ giấy tờ liên quan: Theo hình thức đã đăng ký nhận hồ sơ (Trực tiếp tại cơ quan BHXH/Trung tâm phục vụ HCC các cấp hoặc qua dịch vụ bưu chính công ích hoặc qua giao dịch điện tử).
- Tiền trợ cấp bằng một trong các hình thức sau:
+ Thông qua tài khoản cá nhân.
+ Bằng tiền mặt tại cơ quan BHXH.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công dân nước ngoài đang hưởng lương hưu, trợ cấp BHXH hàng tháng không còn cư trú ở Việt Nam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Đơn đề nghị (mẫu 14-HSB)</w:t>
            </w:r>
          </w:p>
        </w:tc>
        <w:tc>
          <w:p/>
          <w:p>
            <w:pPr>
              <w:spacing w:after="0" w:before="0" w:lineRule="auto" w:line="276"/>
              <w:jc w:val="left"/>
            </w:pPr>
            <w:r>
              <w:rPr>
                <w:rFonts w:ascii="Times New Roman" w:hAnsi="Times New Roman" w:cs="Times New Roman" w:eastAsia="Times New Roman"/>
                <w:b w:val="false"/>
                <w:sz w:val="26"/>
              </w:rPr>
              <w:t>14_HSB.docx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người đang hưởng lương hưu, trợ cấp BHXH hàng tháng ra nước ngoài định cư</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Đơn đề nghị (mẫu 14-HSB)</w:t>
            </w:r>
          </w:p>
        </w:tc>
        <w:tc>
          <w:p/>
          <w:p>
            <w:pPr>
              <w:spacing w:after="0" w:before="0" w:lineRule="auto" w:line="276"/>
              <w:jc w:val="left"/>
            </w:pPr>
            <w:r>
              <w:rPr>
                <w:rFonts w:ascii="Times New Roman" w:hAnsi="Times New Roman" w:cs="Times New Roman" w:eastAsia="Times New Roman"/>
                <w:b w:val="false"/>
                <w:sz w:val="26"/>
              </w:rPr>
              <w:t>14_HSB.docx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xác nhận của cơ quan có thẩm quyền về việc thôi quốc tịch Việt Nam hoặc bản dịch tiếng Việt được chứng thực của một trong các giấy tờ sau: - Hộ chiếu do nước ngoài cấp. - Thị thực của cơ quan nước ngoài có thẩm quyền cấp; giấy tờ xác nhận về việc đang làm thủ tục nhập quốc tịch nước ngoài. - Giấy tờ xác nhận hoặc thẻ thường trú, cư trú có thời hạn từ 05 năm trở lên của cơ quan nước ngoài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hưởng trợ cấp một lần, Tiền trợ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01/2016/TT-BLĐTBXH</w:t>
            </w:r>
          </w:p>
        </w:tc>
        <w:tc>
          <w:p/>
          <w:p>
            <w:pPr>
              <w:spacing w:after="0" w:before="0" w:lineRule="auto" w:line="276"/>
              <w:jc w:val="left"/>
            </w:pPr>
            <w:r>
              <w:rPr>
                <w:rFonts w:ascii="Times New Roman" w:hAnsi="Times New Roman" w:cs="Times New Roman" w:eastAsia="Times New Roman"/>
                <w:b w:val="false"/>
                <w:sz w:val="26"/>
              </w:rPr>
              <w:t>Thông tư 01/2016/TT-BLĐTBXH</w:t>
            </w:r>
          </w:p>
        </w:tc>
        <w:tc>
          <w:p/>
          <w:p>
            <w:pPr>
              <w:spacing w:after="0" w:before="0" w:lineRule="auto" w:line="276"/>
              <w:jc w:val="left"/>
            </w:pPr>
            <w:r>
              <w:rPr>
                <w:rFonts w:ascii="Times New Roman" w:hAnsi="Times New Roman" w:cs="Times New Roman" w:eastAsia="Times New Roman"/>
                <w:b w:val="false"/>
                <w:sz w:val="26"/>
              </w:rPr>
              <w:t>18-02-2016</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58/2014/QH13 - Bảo hiểm xã hội</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115/2015/NĐ-CP</w:t>
            </w:r>
          </w:p>
        </w:tc>
        <w:tc>
          <w:p/>
          <w:p>
            <w:pPr>
              <w:spacing w:after="0" w:before="0" w:lineRule="auto" w:line="276"/>
              <w:jc w:val="left"/>
            </w:pPr>
            <w:r>
              <w:rPr>
                <w:rFonts w:ascii="Times New Roman" w:hAnsi="Times New Roman" w:cs="Times New Roman" w:eastAsia="Times New Roman"/>
                <w:b w:val="false"/>
                <w:sz w:val="26"/>
              </w:rPr>
              <w:t>Nghị định 115/2015/NĐ-CP - Quy định chi tiết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11-11-2015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59/2015/TT-BLĐTBXH</w:t>
            </w:r>
          </w:p>
        </w:tc>
        <w:tc>
          <w:p/>
          <w:p>
            <w:pPr>
              <w:spacing w:after="0" w:before="0" w:lineRule="auto" w:line="276"/>
              <w:jc w:val="left"/>
            </w:pPr>
            <w:r>
              <w:rPr>
                <w:rFonts w:ascii="Times New Roman" w:hAnsi="Times New Roman" w:cs="Times New Roman" w:eastAsia="Times New Roman"/>
                <w:b w:val="false"/>
                <w:sz w:val="26"/>
              </w:rPr>
              <w:t>Thông tư 59/2015/TT-BLĐTBXH - Quy định chi tiết và hướng dẫn thi hành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134/2015/NĐ-CP</w:t>
            </w:r>
          </w:p>
        </w:tc>
        <w:tc>
          <w:p/>
          <w:p>
            <w:pPr>
              <w:spacing w:after="0" w:before="0" w:lineRule="auto" w:line="276"/>
              <w:jc w:val="left"/>
            </w:pPr>
            <w:r>
              <w:rPr>
                <w:rFonts w:ascii="Times New Roman" w:hAnsi="Times New Roman" w:cs="Times New Roman" w:eastAsia="Times New Roman"/>
                <w:b w:val="false"/>
                <w:sz w:val="26"/>
              </w:rPr>
              <w:t>Nghị định 134/2015/NĐ-CP - Quy định chi tiết một số điều của luật bảo hiểm xã hội về bảo hiểm xã hội tự nguyện</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166/2016/NĐ-CP</w:t>
            </w:r>
          </w:p>
        </w:tc>
        <w:tc>
          <w:p/>
          <w:p>
            <w:pPr>
              <w:spacing w:after="0" w:before="0" w:lineRule="auto" w:line="276"/>
              <w:jc w:val="left"/>
            </w:pPr>
            <w:r>
              <w:rPr>
                <w:rFonts w:ascii="Times New Roman" w:hAnsi="Times New Roman" w:cs="Times New Roman" w:eastAsia="Times New Roman"/>
                <w:b w:val="false"/>
                <w:sz w:val="26"/>
              </w:rPr>
              <w:t>Nghị định 166/2016/NĐ-CP-Quy định về giao dịch điện tử trong lĩnh vực bảo hiểm xã hội, bảo hiểm y tế và bảo hiểm thất nghiệp</w:t>
            </w:r>
          </w:p>
        </w:tc>
        <w:tc>
          <w:p/>
          <w:p>
            <w:pPr>
              <w:spacing w:after="0" w:before="0" w:lineRule="auto" w:line="276"/>
              <w:jc w:val="left"/>
            </w:pPr>
            <w:r>
              <w:rPr>
                <w:rFonts w:ascii="Times New Roman" w:hAnsi="Times New Roman" w:cs="Times New Roman" w:eastAsia="Times New Roman"/>
                <w:b w:val="false"/>
                <w:sz w:val="26"/>
              </w:rPr>
              <w:t>24-12-2016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143/2018/NĐ-CP</w:t>
            </w:r>
          </w:p>
        </w:tc>
        <w:tc>
          <w:p/>
          <w:p>
            <w:pPr>
              <w:spacing w:after="0" w:before="0" w:lineRule="auto" w:line="276"/>
              <w:jc w:val="left"/>
            </w:pPr>
            <w:r>
              <w:rPr>
                <w:rFonts w:ascii="Times New Roman" w:hAnsi="Times New Roman" w:cs="Times New Roman" w:eastAsia="Times New Roman"/>
                <w:b w:val="false"/>
                <w:sz w:val="26"/>
              </w:rPr>
              <w:t>Nghị định 143/2018/NĐ-CP</w:t>
            </w:r>
          </w:p>
        </w:tc>
        <w:tc>
          <w:p/>
          <w:p>
            <w:pPr>
              <w:spacing w:after="0" w:before="0" w:lineRule="auto" w:line="276"/>
              <w:jc w:val="left"/>
            </w:pPr>
            <w:r>
              <w:rPr>
                <w:rFonts w:ascii="Times New Roman" w:hAnsi="Times New Roman" w:cs="Times New Roman" w:eastAsia="Times New Roman"/>
                <w:b w:val="false"/>
                <w:sz w:val="26"/>
              </w:rPr>
              <w:t>15-10-2018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65 Luật BHXH, Điều 11 Nghị định số 143/2018/NĐ-CP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2025-11-27T16:41:11Z</dcterms:created>
  <dc:creator>Apache POI</dc:creator>
</cp:coreProperties>
</file>