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hưởng trợ cấp hàng tháng theo Quyết định số 613/QĐ-TTg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hồ sơ</w:t>
      </w:r>
    </w:p>
    <w:p>
      <w:pPr>
        <w:spacing w:after="0" w:before="0" w:lineRule="auto" w:line="276"/>
        <w:jc w:val="both"/>
      </w:pPr>
      <w:r>
        <w:rPr>
          <w:rFonts w:ascii="Times New Roman" w:hAnsi="Times New Roman" w:cs="Times New Roman" w:eastAsia="Times New Roman"/>
          <w:b w:val="false"/>
          <w:sz w:val="26"/>
        </w:rPr>
        <w:t>Người đề nghị lập hồ sơ theo quy định tại mục 8.3 (thành phần hồ sơ) và nộp cho cơ quan BHXH nơi đã chi trả trợ cấp trước khi thôi hưởng trợ cấp mất sức lao động hàng tháng hoặc nơi đã quyết định thôi hưởng trợ cấp mất sức lao động hàng tháng.</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Người đề nghị nhận Quyết định hưởng trợ cấp hàng tháng hoặc Quyết định về việc hưởng trợ cấp mai táng hoặc Quyết định về việc hưởng chế độ tuất một lần; thẻ BHYT (đối với trường hợp hưởng trợ cấp hàng tháng); Thông báo về việc chi trả lương hưu, trợ cấp BHXH đối với trường hợp di chuyển hưởng chế độ  BHXH tại huyện/tỉnh khác và tiền trợ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I. Thời hạn giải quyết:
1. Trợ cấp hàng tháng: tối đa là 30 ngày làm việc, kể từ ngày cơ quan BHXH nhận được đơn đề nghị giải quyết trợ cấp hàng tháng của người đề nghị theo quy định.
2. Trợ cấp mai táng: tối đa là 15 ngày làm việc kể từ ngày cơ quan BHXH nhận được hồ sơ theo quy định của người đề nghị.
II. Mô tả:
1. Nộp hồ sơ: người đề nghị nộp hồ sơ bằng một trong các hình thức sau:
- Nộp trực tiếp cho cơ quan BHXH hoặc Trung tâm Phục vụ HCC các cấp (nếu có);
-	2. Nhận kết quả: Người đề nghị nhận kết quả gồm:
- Hồ sơ giấy tờ liên quan: Theo hình thức đã đăng ký nhận hồ sơ (trực tiếp tại cơ quan BHXH/Trung tâm Phục vụ HCC các cấp hoặc qua dịch vụ bưu chính công ích hoặc qua giao dịch điện tử).
- Tiền trợ cấp: 
+ Thông qua tài khoản cá nhân.
+ Bằng tiền mặt tại cơ quan BHXH (đối với nhận trợ cấp mai táng).
-	  + Bằng tiền mặt thông qua tổ chức dịch vụ chi trả (đối với hưởng chế độ hàng tháng).
-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I. Thời hạn giải quyết:
1. Trợ cấp hàng tháng: tối đa là 30 ngày làm việc, kể từ ngày cơ quan BHXH nhận được đơn đề nghị giải quyết trợ cấp hàng tháng của người đề nghị theo quy định.
2. Trợ cấp mai táng: tối đa là 15 ngày làm việc kể từ ngày cơ quan BHXH nhận được hồ sơ theo quy định của người đề nghị.
II. Mô tả:
1. Nộp hồ sơ: người đề nghị nộp hồ sơ 
- Trực tuyến (Trường hợp hồ sơ giấy không chuyển đổi được sang hồ sơ điện tử thì người đề nghị gửi hồ sơ giấy về cơ quan BHXH qua dịch vụ bưu chính).
2. Nhận kết quả: Người đề nghị nhận kết quả gồm:
- Hồ sơ giấy tờ liên quan: Theo hình thức đã đăng ký nhận hồ sơ (trực tiếp tại cơ quan BHXH/Trung tâm Phục vụ HCC các cấp hoặc qua dịch vụ bưu chính công ích hoặc qua giao dịch điện tử).
- Tiền trợ cấp: 
+ Thông qua tài khoản cá nhân.
+ Bằng tiền mặt tại cơ quan BHXH (đối với nhận trợ cấp mai táng).
-	  + Bằng tiền mặt thông qua tổ chức dịch vụ chi trả (đối với hưởng chế độ hàng tháng).
-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I. Thời hạn giải quyết:
1. Trợ cấp hàng tháng: tối đa là 30 ngày làm việc, kể từ ngày cơ quan BHXH nhận được đơn đề nghị giải quyết trợ cấp hàng tháng của người đề nghị theo quy định.
2. Trợ cấp mai táng: tối đa là 15 ngày làm việc kể từ ngày cơ quan BHXH nhận được hồ sơ theo quy định của người đề nghị.
II. Mô tả:
1. Nộp hồ sơ: người đề nghị nộp hồ sơ 
-Thông qua dịch vụ bưu chính công ích;
-	2. Nhận kết quả: Người đề nghị nhận kết quả gồm:
- Hồ sơ giấy tờ liên quan: Theo hình thức đã đăng ký nhận hồ sơ (trực tiếp tại cơ quan BHXH/Trung tâm Phục vụ HCC các cấp hoặc qua dịch vụ bưu chính công ích hoặc qua giao dịch điện tử).
- Tiền trợ cấp: 
+ Thông qua tài khoản cá nhân.
+ Bằng tiền mặt tại cơ quan BHXH (đối với nhận trợ cấp mai táng).
-	  + Bằng tiền mặt thông qua tổ chức dịch vụ chi trả (đối với hưởng chế độ hàng tháng).
-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Đối với trường hợp hưởng trợ cấp hàng tháng theo Quyết định số 613/QĐ-TTg: (Trường hợp không quy định là bản chính thì có thể nộp bản sao hợp lệ. Trường hợp nộp hồ sơ trực tuyến: thành phần hồ sơ quy định là bản sao nhưng NLĐ có thể nộp bản chính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Bản chính Đơn đề nghị giải quyết trợ cấp hàng tháng (Mẫu số 01- QĐ613)</w:t>
            </w:r>
          </w:p>
        </w:tc>
        <w:tc>
          <w:p/>
          <w:p>
            <w:pPr>
              <w:spacing w:after="0" w:before="0" w:lineRule="auto" w:line="276"/>
              <w:jc w:val="left"/>
            </w:pPr>
            <w:r>
              <w:rPr>
                <w:rFonts w:ascii="Times New Roman" w:hAnsi="Times New Roman" w:cs="Times New Roman" w:eastAsia="Times New Roman"/>
                <w:b w:val="false"/>
                <w:sz w:val="26"/>
              </w:rPr>
              <w:t>Mẫu số 01 _ QĐ 613.docx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nhận chấp hành xong hình phạt tù đối với trường hợp đối tượng bị phạt tù nhưng không được hưởng án treo hoặc bản sao Quyết định của Tòa án tuyên bố mất tích trở về đối với trường hợp đối tượng bị Tòa án tuyên bố là mất tích trở về hoặc bản sao Quyết định trở về nước định cư hợp pháp đối với trường hợp đối tượng xuất cảnh trở về định cư hợp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2. Đối với người đủ điều kiện hưởng trợ cấp hàng tháng nhưng chưa được giải quyết mà bị chết từ ngày 01/7/2010 trở đi (Trường hợp không quy định là bản chính thì có thể nộp bản sao hợp lệ. Trường hợp nộp hồ sơ trực tuyến: thành phần hồ sơ quy định là bản sao nhưng NLĐ có thể nộp bản chính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Bản chính Đơn đề nghị giải quyết trợ cấp mai táng của thân nhân đối tượng theo Mẫu số 03-QĐ613</w:t>
            </w:r>
          </w:p>
        </w:tc>
        <w:tc>
          <w:p/>
          <w:p>
            <w:pPr>
              <w:spacing w:after="0" w:before="0" w:lineRule="auto" w:line="276"/>
              <w:jc w:val="left"/>
            </w:pPr>
            <w:r>
              <w:rPr>
                <w:rFonts w:ascii="Times New Roman" w:hAnsi="Times New Roman" w:cs="Times New Roman" w:eastAsia="Times New Roman"/>
                <w:b w:val="false"/>
                <w:sz w:val="26"/>
              </w:rPr>
              <w:t>Mẫu số 03_QĐ613.docx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tử của đối tượng hoặc  bản sao Giấy khai tử hoặc bản sao Quyết định của Tòa án tuyên bố đã chết hoặc bản chính Giấy xác nhận của UBND xã, phường, thị trấn nơi chôn cất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Giấy chứng nhận chấp hành xong hình phạt tù đối với trường hợp đối tượng bị phạt tù nhưng không được hưởng án treo hoặc bản sao Quyết định của Tòa án tuyên bố mất tích trở về đối với trường hợp đối tượng bị Tòa án tuyên bố là mất tích trở về hoặc bản sao Quyết định trở về nước định cư hợp pháp đối với trường hợp đối tượng xuất cảnh trở về định cư hợp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BHYT, Quyết định về việc hưởng BHXH một lần, Quyết định hưởng trợ cấp hàng tháng, Tiền trợ cấp, Quyết định về việc hưởng chế độ tuất một lần (Mẫu số 08E-HSB), Quyết định về việc hưởng trợ cấp mai táng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613/QĐ-TTg</w:t>
            </w:r>
          </w:p>
        </w:tc>
        <w:tc>
          <w:p/>
          <w:p>
            <w:pPr>
              <w:spacing w:after="0" w:before="0" w:lineRule="auto" w:line="276"/>
              <w:jc w:val="left"/>
            </w:pPr>
            <w:r>
              <w:rPr>
                <w:rFonts w:ascii="Times New Roman" w:hAnsi="Times New Roman" w:cs="Times New Roman" w:eastAsia="Times New Roman"/>
                <w:b w:val="false"/>
                <w:sz w:val="26"/>
              </w:rPr>
              <w:t>Về việc trợ cấp hàng tháng cho những người có từ đủ 15 năm đến dưới 20 năm công tác thực tế đã hết thời hạn hưởng trợ cấp mất sức lao động</w:t>
            </w:r>
          </w:p>
        </w:tc>
        <w:tc>
          <w:p/>
          <w:p>
            <w:pPr>
              <w:spacing w:after="0" w:before="0" w:lineRule="auto" w:line="276"/>
              <w:jc w:val="left"/>
            </w:pPr>
            <w:r>
              <w:rPr>
                <w:rFonts w:ascii="Times New Roman" w:hAnsi="Times New Roman" w:cs="Times New Roman" w:eastAsia="Times New Roman"/>
                <w:b w:val="false"/>
                <w:sz w:val="26"/>
              </w:rPr>
              <w:t>06-05-2010</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16/2010/TT-BLĐTBXH</w:t>
            </w:r>
          </w:p>
        </w:tc>
        <w:tc>
          <w:p/>
          <w:p>
            <w:pPr>
              <w:spacing w:after="0" w:before="0" w:lineRule="auto" w:line="276"/>
              <w:jc w:val="left"/>
            </w:pPr>
            <w:r>
              <w:rPr>
                <w:rFonts w:ascii="Times New Roman" w:hAnsi="Times New Roman" w:cs="Times New Roman" w:eastAsia="Times New Roman"/>
                <w:b w:val="false"/>
                <w:sz w:val="26"/>
              </w:rPr>
              <w:t>Hướng dẫn Quyết định 613/QĐ-TTg ngày 06 tháng 5 năm 2010 của Thủ tướng Chính phủ về việc trợ cấp hàng tháng cho những người có từ đủ 15 năm đến dưới 20 năm công tác thực tế đã hết thời hạn hưởng trợ cấp mất sức lao động</w:t>
            </w:r>
          </w:p>
        </w:tc>
        <w:tc>
          <w:p/>
          <w:p>
            <w:pPr>
              <w:spacing w:after="0" w:before="0" w:lineRule="auto" w:line="276"/>
              <w:jc w:val="left"/>
            </w:pPr>
            <w:r>
              <w:rPr>
                <w:rFonts w:ascii="Times New Roman" w:hAnsi="Times New Roman" w:cs="Times New Roman" w:eastAsia="Times New Roman"/>
                <w:b w:val="false"/>
                <w:sz w:val="26"/>
              </w:rPr>
              <w:t>01-06-2010</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59/2015/TT-BLĐTBXH</w:t>
            </w:r>
          </w:p>
        </w:tc>
        <w:tc>
          <w:p/>
          <w:p>
            <w:pPr>
              <w:spacing w:after="0" w:before="0" w:lineRule="auto" w:line="276"/>
              <w:jc w:val="left"/>
            </w:pPr>
            <w:r>
              <w:rPr>
                <w:rFonts w:ascii="Times New Roman" w:hAnsi="Times New Roman" w:cs="Times New Roman" w:eastAsia="Times New Roman"/>
                <w:b w:val="false"/>
                <w:sz w:val="26"/>
              </w:rPr>
              <w:t>Thông tư 59/2015/TT-BLĐTBXH</w:t>
            </w:r>
          </w:p>
        </w:tc>
        <w:tc>
          <w:p/>
          <w:p>
            <w:pPr>
              <w:spacing w:after="0" w:before="0" w:lineRule="auto" w:line="276"/>
              <w:jc w:val="left"/>
            </w:pPr>
            <w:r>
              <w:rPr>
                <w:rFonts w:ascii="Times New Roman" w:hAnsi="Times New Roman" w:cs="Times New Roman" w:eastAsia="Times New Roman"/>
                <w:b w:val="false"/>
                <w:sz w:val="26"/>
              </w:rPr>
              <w:t>29-12-2015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1 Quyết định số 613/QĐ-TTg; Điều 1 Thông tư số 16/2010/TT-BLĐTBXH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hưởng trợ cấp hàng tháng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2025-11-27T16:41:33Z</dcterms:created>
  <dc:creator>Apache POI</dc:creator>
</cp:coreProperties>
</file>