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1182/QĐ-BXD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bồi dưỡng kiến thức pháp luật về giao thông đường bộ cho người điều khiển xe máy chuyên dùng tham gia giao thông đường bộ (trường hợp cơ sở bồi dưỡng đã cấp chứng chỉ không còn hoạt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Người có Chứng chỉ bị hỏng hoặc có sự sai lệch về thông tin, bị mất nộp hồ sơ đến Sở Xây dựng nơi quản lý Cơ sở cấp Chứng chỉ (trường hợp cơ sở bồi dưỡng đã cấp chứng chỉ không còn hoạt động).</w:t>
      </w:r>
    </w:p>
    <w:p>
      <w:pPr>
        <w:spacing w:after="0" w:before="0" w:lineRule="auto" w:line="276"/>
        <w:jc w:val="both"/>
      </w:pPr>
      <w:r>
        <w:rPr>
          <w:rFonts w:ascii="Times New Roman" w:hAnsi="Times New Roman" w:cs="Times New Roman" w:eastAsia="Times New Roman"/>
          <w:b w:val="false"/>
          <w:sz w:val="26"/>
        </w:rPr>
        <w:t>b) Giải quyết TTHC:
- Sở Xây dựng kiểm tra hồ sơ khi tiếp nhận; trường hợp chứng chỉ không thuộc đối tượng được cấp lại hoặc hồ sơ không đúng theo quy định, phải thông báo trực tiếp hoặc bằng văn bản những nội dung cần bổ sung hoặc sửa đổi cho cá nhân trong thời hạn 02 ngày làm việc, kể từ ngày nhận hồ sơ.
- Trong thời hạn 03 ngày làm việc, kể từ ngày nhận đủ hồ sơ hợp lệ, Sở Xây dựng cấp lại chứng chỉ; trường hợp không cấp lại chứng chỉ thì phải trả lời bằng văn bản và nêu rõ lý do.
- Việc trả chứng chỉ được thực hiện tại Sở Xây dựng hoặc thông qua dịch vụ bưu chính theo yêu cầu của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tại Thông tư liên tịch số 72/2011/TTLT-BTC-BGTVT ngày 27/5/2011 của Bộ Tài chính - Bộ Giao thông vận tải hướng dẫn cơ chế quản lý tài chính đào tạo lái xe cơ giới đường bộ.)</w:t>
            </w:r>
          </w:p>
        </w:tc>
        <w:tc>
          <w:p/>
          <w:p>
            <w:pPr>
              <w:spacing w:after="0" w:before="0" w:lineRule="auto" w:line="276"/>
              <w:jc w:val="left"/>
            </w:pPr>
            <w:r>
              <w:rPr>
                <w:rFonts w:ascii="Times New Roman" w:hAnsi="Times New Roman" w:cs="Times New Roman" w:eastAsia="Times New Roman"/>
                <w:b w:val="false"/>
                <w:sz w:val="26"/>
              </w:rPr>
              <w:t>Trong thời hạn 03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chứng chỉ theo mẫu quy định tại Phụ lục XVI Thông tư số 14/2025/TT-BXD ngày 30 tháng 6 năm 2025 của Bộ trưởng Bộ Xây dựng quy định về đào tạo lái xe; bồi dưỡng, kiểm tra, cấp chứng chỉ bồi dưỡng kiến thức pháp luật về giao thông đường bộ</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ảnh màu kích thước 2x3 cm chụp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bồi dưỡng kiến thức pháp luật về giao thông đường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72/2011/TTLT-BTC-BGTVT </w:t>
            </w:r>
          </w:p>
        </w:tc>
        <w:tc>
          <w:p/>
          <w:p>
            <w:pPr>
              <w:spacing w:after="0" w:before="0" w:lineRule="auto" w:line="276"/>
              <w:jc w:val="left"/>
            </w:pPr>
            <w:r>
              <w:rPr>
                <w:rFonts w:ascii="Times New Roman" w:hAnsi="Times New Roman" w:cs="Times New Roman" w:eastAsia="Times New Roman"/>
                <w:b w:val="false"/>
                <w:sz w:val="26"/>
              </w:rPr>
              <w:t>Bộ Tài chính và Bộ Trưởng Bộ Giao thông vận tải</w:t>
            </w:r>
          </w:p>
        </w:tc>
        <w:tc>
          <w:p/>
          <w:p>
            <w:pPr>
              <w:spacing w:after="0" w:before="0" w:lineRule="auto" w:line="276"/>
              <w:jc w:val="left"/>
            </w:pPr>
            <w:r>
              <w:rPr>
                <w:rFonts w:ascii="Times New Roman" w:hAnsi="Times New Roman" w:cs="Times New Roman" w:eastAsia="Times New Roman"/>
                <w:b w:val="false"/>
                <w:sz w:val="26"/>
              </w:rPr>
              <w:t>27-05-2011</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có chứng chỉ bị hỏng hoặc có sự sai lệch về thông tin, bị mất có tên trong hồ sơ lưu trữ tại nơi cấp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2025-11-27T16:41:52Z</dcterms:created>
  <dc:creator>Apache POI</dc:creator>
</cp:coreProperties>
</file>