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2.000779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nhận cha, mẹ, con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Nếu lựa chọn hình thức nộp hồ sơ trực tiếp, người yêu cầu đăng ký nhận cha, mẹ, con nộp hồ sơ đăng ký nhận cha, mẹ, con tại Trung tâm phục vụ hành chính công có thẩm quyền; nộp lệ phí nếu thuộc trường hợp phải nộp lệ phí đăng ký nhận cha, mẹ, con; nộp phí cấp bản sao Trích lục đăng ký nhận cha, mẹ, con nếu có yêu cầu cấp bản sao Trích lục đăng ký nhận cha, mẹ, con.</w:t>
      </w:r>
    </w:p>
    <w:p>
      <w:pPr>
        <w:spacing w:after="0" w:before="0" w:lineRule="auto" w:line="276"/>
        <w:jc w:val="both"/>
      </w:pPr>
      <w:r>
        <w:rPr>
          <w:rFonts w:ascii="Times New Roman" w:hAnsi="Times New Roman" w:cs="Times New Roman" w:eastAsia="Times New Roman"/>
          <w:b w:val="false"/>
          <w:sz w:val="26"/>
        </w:rPr>
        <w:t>- Nếu lựa chọn hình thức nộp hồ sơ trực tuyến, người yêu cầu đăng ký nhận cha, mẹ, con truy cập Cổng dịch vụ công quốc gia, xác thực người dùng theo hướng dẫn, đăng nhập vào hệ thống, lựa chọn Ủy ban nhân dân cấp xã có thẩm quyền.</w:t>
      </w:r>
    </w:p>
    <w:p>
      <w:pPr>
        <w:spacing w:after="0" w:before="0" w:lineRule="auto" w:line="276"/>
        <w:jc w:val="both"/>
      </w:pPr>
      <w:r>
        <w:rPr>
          <w:rFonts w:ascii="Times New Roman" w:hAnsi="Times New Roman" w:cs="Times New Roman" w:eastAsia="Times New Roman"/>
          <w:b w:val="false"/>
          <w:sz w:val="26"/>
        </w:rPr>
        <w:t>Người có yêu cầu đăng ký nhận cha, mẹ, con trực tuyến cung cấp thông tin theo biểu mẫu điện tử tương tác đăng ký nhận cha, mẹ, con (cung cấp trên Cổng dịch vụ công), đính kèm bản chụp hoặc bản sao điện tử các giấy tờ, tài liệu theo quy định; nộp phí, lệ phí thông qua chức năng thanh toán trực tuyến hoặc bằng cách thức khác theo quy định pháp luật, hoàn tất việc nộp hồ sơ.</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(nếu người yêu cầu nộp hồ sơ trực tiếp) hoặc gửi ngay Phiếu hẹn, trả kết quả qua thư điện tử hoặc gửi tin nhắn hẹn trả kết quả qua điện thoại di động cho người yêu cầu (nếu người yêu cầu nộp hồ sơ trực tuyến);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theo hình thức nộp trực tiếp,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nhận cha, mẹ, con không bổ sung, hoàn thiện được hồ sơ thì cán bộ tiếp nhận hồ sơ báo cáo Lãnh đạo Trung tâm Phục vụ hành chính công có thông báo từ chối giải quyết yêu cầu đăng ký nhận cha, mẹ, con.</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 (nếu người yêu cầu nộp hồ sơ trực tiếp), hoặc gửi Phiếu xin lỗi và hẹn lại ngày trả kết quả qua thư điện tử hoặc gửi tin nhắn qua điện thoại di động cho người yêu cầu (nếu người yêu cầu nộp hồ sơ trực tuyến).</w:t>
      </w:r>
    </w:p>
    <w:p>
      <w:pPr>
        <w:spacing w:after="0" w:before="0" w:lineRule="auto" w:line="276"/>
        <w:jc w:val="both"/>
      </w:pPr>
      <w:r>
        <w:rPr>
          <w:rFonts w:ascii="Times New Roman" w:hAnsi="Times New Roman" w:cs="Times New Roman" w:eastAsia="Times New Roman"/>
          <w:b w:val="false"/>
          <w:sz w:val="26"/>
        </w:rPr>
        <w:t>+ Công chức tư pháp - hộ tịch xác minh, niêm yết việc nhận cha, mẹ, con tại trụ sở Ủy ban nhân dân cấp xã trong thời gian 05 ngày làm việc, đồng thời gửi văn bản đề nghị Ủy ban nhân dân cấp xã nơi thường trú của người được nhận là cha, mẹ, con niêm yết trong thời gian 05 ngày làm việc.</w:t>
      </w:r>
    </w:p>
    <w:p>
      <w:pPr>
        <w:spacing w:after="0" w:before="0" w:lineRule="auto" w:line="276"/>
        <w:jc w:val="both"/>
      </w:pPr>
      <w:r>
        <w:rPr>
          <w:rFonts w:ascii="Times New Roman" w:hAnsi="Times New Roman" w:cs="Times New Roman" w:eastAsia="Times New Roman"/>
          <w:b w:val="false"/>
          <w:sz w:val="26"/>
        </w:rPr>
        <w:t>+ Nếu thấy việc nhận cha, mẹ, con là đúng và không có tranh chấp, hồ sơ đầy đủ, hợp lệ, đúng quy định, trường hợp tiếp nhận hồ sơ đăng ký nhận cha, mẹ, con theo hình thức trực tiếp, thì công chức làm công tác hộ tịch thực hiện việc ghi vào Sổ đăng ký nhận cha, mẹ, con, cập nhật thông tin đăng ký nhận cha, mẹ, con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Trường hợp tiếp nhận hồ sơ đăng ký nhận cha, mẹ, con theo hình thức trực tuyến, công chức làm công tác hộ tịch gửi lại biểu mẫu Trích lục đăng ký nhận cha, mẹ, con điện tử với thông tin đầy đủ cho người yêu cầu qua thư điện tử hoặc thiết bị số.</w:t>
      </w:r>
    </w:p>
    <w:p>
      <w:pPr>
        <w:spacing w:after="0" w:before="0" w:lineRule="auto" w:line="276"/>
        <w:jc w:val="both"/>
      </w:pPr>
      <w:r>
        <w:rPr>
          <w:rFonts w:ascii="Times New Roman" w:hAnsi="Times New Roman" w:cs="Times New Roman" w:eastAsia="Times New Roman"/>
          <w:b w:val="false"/>
          <w:sz w:val="26"/>
        </w:rPr>
        <w:t>Người yêu cầu có trách nhiệm kiểm tra tính chính xác, đầy đủ của các thông tin trên biểu mẫu Trích lục đăng ký nhận cha, mẹ, con điện tử và xác nhận (tối đa một ngày).</w:t>
      </w:r>
    </w:p>
    <w:p>
      <w:pPr>
        <w:spacing w:after="0" w:before="0" w:lineRule="auto" w:line="276"/>
        <w:jc w:val="both"/>
      </w:pPr>
      <w:r>
        <w:rPr>
          <w:rFonts w:ascii="Times New Roman" w:hAnsi="Times New Roman" w:cs="Times New Roman" w:eastAsia="Times New Roman"/>
          <w:b w:val="false"/>
          <w:sz w:val="26"/>
        </w:rPr>
        <w:t>Nếu người có yêu cầu xác nhận thông tin đã thống nhất, đầy đủ hoặc không có phản hồi sau thời hạn yêu cầu thì công chức làm công tác hộ tịch thực hiện việc ghi nội dung vào Sổ đăng ký đăng ký nhận cha, mẹ, con, cập nhật thông tin đăng ký nhận cha, mẹ, con và lưu chính thức trên Phần mềm đăng ký, quản lý hộ tịch điện tử dùng chung.</w:t>
      </w:r>
    </w:p>
    <w:p>
      <w:pPr>
        <w:spacing w:after="0" w:before="0" w:lineRule="auto" w:line="276"/>
        <w:jc w:val="both"/>
      </w:pPr>
      <w:r>
        <w:rPr>
          <w:rFonts w:ascii="Times New Roman" w:hAnsi="Times New Roman" w:cs="Times New Roman" w:eastAsia="Times New Roman"/>
          <w:b w:val="false"/>
          <w:sz w:val="26"/>
        </w:rPr>
        <w:t>- Công chức tư pháp - hộ tịch in Trích lục đăng ký nhận cha, mẹ, con, trình Lãnh đạo Ủy ban nhân dân cấp xã ký, chuyển tới Trung tâm Phục vụ hành chính công để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 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 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Thủ tục này đủ điều kiện thực hiện dịch vụ công trực tuyến toàn trình.
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Trích lục đăng ký nhận cha, mẹ, con (nếu có yêu cầu) thực hiện theo quy định tại Thông tư số 281/2016/TT-BTC ngày 14/11/2016 của Bộ Tài chính 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Người yêu cầu đăng ký nhận cha, mẹ, con thực hiện nộp hồ sơ trực tiếp tại Trung tâm Phục vụ hành chính công, gửi qua hệ thống bưu chính hoặc nộp hồ sơ trực tuyến tại Cổng dịch vụ công quốc gia (https://dichvucong.gov.vn) (một bên có thể nộp hồ sơ mà không phải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Chứng cứ chứng minh quan hệ cha, con hoặc quan hệ mẹ, con gồm một trong các giấy tờ, tài liệu sau đây: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y tế, cơ quan giám định hoặc cơ quan, tổ chức khác có thẩm quyền ở trong nước hoặc nước ngoài xác nhận quan hệ cha con, quan hệ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chứng cứ chứng minh quan hệ cha, mẹ, con nêu trên thì phải có văn bản cam đoan của các bên nhận cha, mẹ, con,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đăng ký nhận cha, mẹ, con giữa công dân Việt Nam với người nước ngoài hoặc giữa người nước ngoài với nhau thì người nước ngoài phải nộp bản sao hộ chiếu hoặc giấy tờ có giá trị thay hộ chiếu để chứng minh về nhân thân.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nhận cha, mẹ, con. Trường hợp các thông tin cá nhân trong các giấy tờ này đã có trong CSDLQGVDC, CSDLHTĐT, được hệ thống điền tự động thì không phải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 :</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 nếu người yêu cầu nộp hồ sơ theo hình thức trực tiếp: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gửi kèm theo nếu người yêu cầu nộp hồ sơ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các giấy tờ gửi kèm theo hồ sơ đăng ký nhận cha, mẹ, con trực tuyến phải bảo đảm rõ nét, đầy đủ, toàn vẹn về nội dung, là bản chụp bằng máy ảnh, điện thoại hoặc được chụp, được quét bằng thiết bị điện tử, từ giấy tờ được cấp hợp lệ, còn giá trị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giấy tờ, tài liệu phải gửi kèm trong hồ sơ đăng ký nhận cha, mẹ, con trực tuyến đã có bản sao điện tử hoặc đã có bản điện tử giấy tờ hộ tịch thì người yêu cầu được sử dụng bản điện tử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nhận cha, mẹ, con theo mẫu (nếu người có yêu cầu lựa chọn nộp hồ sơ theo hình thức trực tiếp);</w:t>
            </w:r>
          </w:p>
        </w:tc>
        <w:tc>
          <w:p/>
          <w:p>
            <w:pPr>
              <w:spacing w:after="0" w:before="0" w:lineRule="auto" w:line="276"/>
              <w:jc w:val="left"/>
            </w:pPr>
            <w:r>
              <w:rPr>
                <w:rFonts w:ascii="Times New Roman" w:hAnsi="Times New Roman" w:cs="Times New Roman" w:eastAsia="Times New Roman"/>
                <w:b w:val="false"/>
                <w:sz w:val="26"/>
              </w:rPr>
              <w:t>6.TKngknhnCMC.doc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Mẫu hộ tịch điện tử tương tác đăng ký nhận cha, mẹ, con (do người có yêu cầu cung cấp thông tin theo hướng dẫn trên Cổng dịch vụ công, nếu người có yêu cầu lựa chọn nộp hồ sơ theo hình thức trực tuyến);</w:t>
            </w:r>
          </w:p>
        </w:tc>
        <w:tc>
          <w:p/>
          <w:p>
            <w:pPr>
              <w:spacing w:after="0" w:before="0" w:lineRule="auto" w:line="276"/>
              <w:jc w:val="left"/>
            </w:pPr>
            <w:r>
              <w:rPr>
                <w:rFonts w:ascii="Times New Roman" w:hAnsi="Times New Roman" w:cs="Times New Roman" w:eastAsia="Times New Roman"/>
                <w:b w:val="false"/>
                <w:sz w:val="26"/>
              </w:rPr>
              <w:t>6-DTTT-ngknhnchamcon.doc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có yêu cầu đăng ký nhận cha, mẹ, con thực hiện việc nộp/xuất trình (theo hình thức trực tiếp) hoặc tải lên (theo hình thức trực tuyến) các giấy tờ sau:</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đăng ký nhận cha, mẹ, con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Luật số 52/2014/QH13 </w:t>
            </w:r>
          </w:p>
        </w:tc>
        <w:tc>
          <w:p/>
          <w:p>
            <w:pPr>
              <w:spacing w:after="0" w:before="0" w:lineRule="auto" w:line="276"/>
              <w:jc w:val="left"/>
            </w:pPr>
            <w:r>
              <w:rPr>
                <w:rFonts w:ascii="Times New Roman" w:hAnsi="Times New Roman" w:cs="Times New Roman" w:eastAsia="Times New Roman"/>
                <w:b w:val="false"/>
                <w:sz w:val="26"/>
              </w:rPr>
              <w:t>Hôn nhân và gia đình</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 xml:space="preserve">Thông tư số 281/2016/TT-BTC </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01/2022/TT-BTP</w:t>
            </w:r>
          </w:p>
        </w:tc>
        <w:tc>
          <w:p/>
          <w:p>
            <w:pPr>
              <w:spacing w:after="0" w:before="0" w:lineRule="auto" w:line="276"/>
              <w:jc w:val="left"/>
            </w:pPr>
            <w:r>
              <w:rPr>
                <w:rFonts w:ascii="Times New Roman" w:hAnsi="Times New Roman" w:cs="Times New Roman" w:eastAsia="Times New Roman"/>
                <w:b w:val="false"/>
                <w:sz w:val="26"/>
              </w:rPr>
              <w:t>Thông tư sửa đổi</w:t>
            </w:r>
          </w:p>
        </w:tc>
        <w:tc>
          <w:p/>
          <w:p>
            <w:pPr>
              <w:spacing w:after="0" w:before="0" w:lineRule="auto" w:line="276"/>
              <w:jc w:val="left"/>
            </w:pPr>
            <w:r>
              <w:rPr>
                <w:rFonts w:ascii="Times New Roman" w:hAnsi="Times New Roman" w:cs="Times New Roman" w:eastAsia="Times New Roman"/>
                <w:b w:val="false"/>
                <w:sz w:val="26"/>
              </w:rPr>
              <w:t>04-01-2022</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87/2020/NĐ-CP</w:t>
            </w:r>
          </w:p>
        </w:tc>
        <w:tc>
          <w:p/>
          <w:p>
            <w:pPr>
              <w:spacing w:after="0" w:before="0" w:lineRule="auto" w:line="276"/>
              <w:jc w:val="left"/>
            </w:pPr>
            <w:r>
              <w:rPr>
                <w:rFonts w:ascii="Times New Roman" w:hAnsi="Times New Roman" w:cs="Times New Roman" w:eastAsia="Times New Roman"/>
                <w:b w:val="false"/>
                <w:sz w:val="26"/>
              </w:rPr>
              <w:t>Nghị định 87/2020/NĐ-CP</w:t>
            </w:r>
          </w:p>
        </w:tc>
        <w:tc>
          <w:p/>
          <w:p>
            <w:pPr>
              <w:spacing w:after="0" w:before="0" w:lineRule="auto" w:line="276"/>
              <w:jc w:val="left"/>
            </w:pPr>
            <w:r>
              <w:rPr>
                <w:rFonts w:ascii="Times New Roman" w:hAnsi="Times New Roman" w:cs="Times New Roman" w:eastAsia="Times New Roman"/>
                <w:b w:val="false"/>
                <w:sz w:val="26"/>
              </w:rPr>
              <w:t>28-07-2020</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Thông tư số 03/2023/TT-BTP</w:t>
            </w:r>
          </w:p>
        </w:tc>
        <w:tc>
          <w:p/>
          <w:p>
            <w:pPr>
              <w:spacing w:after="0" w:before="0" w:lineRule="auto" w:line="276"/>
              <w:jc w:val="left"/>
            </w:pPr>
            <w:r>
              <w:rPr>
                <w:rFonts w:ascii="Times New Roman" w:hAnsi="Times New Roman" w:cs="Times New Roman" w:eastAsia="Times New Roman"/>
                <w:b w:val="false"/>
                <w:sz w:val="26"/>
              </w:rPr>
              <w:t>Thông tư số 03/2023/TT-BTP ngày 02/8/2023 của Bộ trưởng Bộ Tư pháp</w:t>
            </w:r>
          </w:p>
        </w:tc>
        <w:tc>
          <w:p/>
          <w:p>
            <w:pPr>
              <w:spacing w:after="0" w:before="0" w:lineRule="auto" w:line="276"/>
              <w:jc w:val="left"/>
            </w:pPr>
            <w:r>
              <w:rPr>
                <w:rFonts w:ascii="Times New Roman" w:hAnsi="Times New Roman" w:cs="Times New Roman" w:eastAsia="Times New Roman"/>
                <w:b w:val="false"/>
                <w:sz w:val="26"/>
              </w:rPr>
              <w:t>02-08-2023</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Bên nhận và bên được nhận là cha, mẹ, con đều còn sống;
- Việc nhận cha, mẹ, con không có tranh chấp.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https://thutuc.dichvucong.gov.vn/p/home/dvc-tthc-thu-tuc-hanh-chinh-chi-tiet.html?ma_thu_tuc=2516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2025-11-27T16:42:13Z</dcterms:created>
  <dc:creator>Apache POI</dc:creator>
</cp:coreProperties>
</file>