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57B4F" w14:textId="77777777" w:rsidR="009552F3" w:rsidRDefault="00CA06A7">
      <w:pPr>
        <w:spacing w:after="300" w:line="276" w:lineRule="auto"/>
        <w:jc w:val="center"/>
      </w:pPr>
      <w:r>
        <w:rPr>
          <w:rFonts w:ascii="Times New Roman" w:eastAsia="Times New Roman" w:hAnsi="Times New Roman" w:cs="Times New Roman"/>
          <w:b/>
          <w:sz w:val="26"/>
        </w:rPr>
        <w:t>Chi tiết thủ tục hành chính</w:t>
      </w:r>
    </w:p>
    <w:p w14:paraId="6E68618F" w14:textId="77777777" w:rsidR="009552F3" w:rsidRDefault="00CA06A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2.000784</w:t>
      </w:r>
    </w:p>
    <w:p w14:paraId="35739F50" w14:textId="77777777" w:rsidR="009552F3" w:rsidRDefault="00CA06A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1373a/QĐ-NHNN</w:t>
      </w:r>
    </w:p>
    <w:p w14:paraId="2FB39D59" w14:textId="77777777" w:rsidR="009552F3" w:rsidRDefault="00CA06A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chấp thuận việc góp vốn, mua cổ phần của tổ chức tín dụng</w:t>
      </w:r>
    </w:p>
    <w:p w14:paraId="18A83EA5" w14:textId="77777777" w:rsidR="009552F3" w:rsidRDefault="00CA06A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977F538" w14:textId="77777777" w:rsidR="009552F3" w:rsidRDefault="00CA06A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5A071E70" w14:textId="77777777" w:rsidR="009552F3" w:rsidRDefault="00CA06A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Thành lập và hoạt động ngân hàng</w:t>
      </w:r>
    </w:p>
    <w:p w14:paraId="5E279843" w14:textId="77777777" w:rsidR="009552F3" w:rsidRDefault="00CA06A7">
      <w:pPr>
        <w:spacing w:after="0" w:line="276" w:lineRule="auto"/>
        <w:jc w:val="both"/>
      </w:pPr>
      <w:r>
        <w:rPr>
          <w:rFonts w:ascii="Times New Roman" w:eastAsia="Times New Roman" w:hAnsi="Times New Roman" w:cs="Times New Roman"/>
          <w:b/>
          <w:sz w:val="26"/>
        </w:rPr>
        <w:t xml:space="preserve">Trình tự thực hiện: </w:t>
      </w:r>
    </w:p>
    <w:p w14:paraId="3009198F" w14:textId="77777777" w:rsidR="009552F3" w:rsidRDefault="009552F3">
      <w:pPr>
        <w:shd w:val="clear" w:color="auto" w:fill="F2F6F9"/>
        <w:spacing w:before="120" w:after="0" w:line="276" w:lineRule="auto"/>
        <w:jc w:val="both"/>
      </w:pPr>
    </w:p>
    <w:p w14:paraId="682646E8" w14:textId="77777777" w:rsidR="009552F3" w:rsidRDefault="00CA06A7">
      <w:pPr>
        <w:spacing w:after="0" w:line="276" w:lineRule="auto"/>
        <w:jc w:val="both"/>
      </w:pPr>
      <w:r>
        <w:rPr>
          <w:rFonts w:ascii="Times New Roman" w:eastAsia="Times New Roman" w:hAnsi="Times New Roman" w:cs="Times New Roman"/>
          <w:sz w:val="26"/>
        </w:rPr>
        <w:t>Bước 1: Tổ chức tín dụng lập 01 bộ hồ sơ theo quy định tại Điều 6 Thông tư số 25/2024/TT-NHNN ngày 28 tháng 6 năm 2024, gửi trực tiếp hoặc qua dịch vụ bưu chính đến trụ sở chính Ngân hàng Nhà nước (Bộ phận Một cửa).  Bước 2: Ngân hàng Nhà nước thẩm định hồ sơ. Trường hợp hồ sơ chưa đầy đủ, hợp lệ, trong thời hạn 10 ngày kể từ ngày nhận được hồ sơ, Ngân hàng Nhà nước có văn bản yêu cầu tổ chức tín dụng bổ sung hồ sơ. Bước 3: Trong thời hạn 45 ngày kể từ ngày nhận đủ hồ sơ hợp lệ, Ngân hàng Nhà nước có văn bả</w:t>
      </w:r>
      <w:r>
        <w:rPr>
          <w:rFonts w:ascii="Times New Roman" w:eastAsia="Times New Roman" w:hAnsi="Times New Roman" w:cs="Times New Roman"/>
          <w:sz w:val="26"/>
        </w:rPr>
        <w:t>n chấp thuận hoặc không chấp thuận việc góp vốn, mua cổ phần, chuyển nợ thành vốn góp, vốn cổ phần của tổ chức tín dụng; trường hợp không chấp thuận, Ngân hàng Nhà nước, có văn bản nêu rõ lý do.</w:t>
      </w:r>
    </w:p>
    <w:p w14:paraId="1F7B28D2" w14:textId="77777777" w:rsidR="009552F3" w:rsidRDefault="00CA06A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77"/>
        <w:gridCol w:w="1619"/>
        <w:gridCol w:w="2647"/>
        <w:gridCol w:w="3568"/>
      </w:tblGrid>
      <w:tr w:rsidR="009552F3" w14:paraId="531340A2" w14:textId="77777777">
        <w:tblPrEx>
          <w:tblCellMar>
            <w:top w:w="0" w:type="dxa"/>
            <w:bottom w:w="0" w:type="dxa"/>
          </w:tblCellMar>
        </w:tblPrEx>
        <w:tc>
          <w:tcPr>
            <w:tcW w:w="1500" w:type="dxa"/>
          </w:tcPr>
          <w:p w14:paraId="52D9C167" w14:textId="77777777" w:rsidR="009552F3" w:rsidRDefault="009552F3"/>
          <w:p w14:paraId="06DD6057" w14:textId="77777777" w:rsidR="009552F3" w:rsidRDefault="00CA06A7">
            <w:pPr>
              <w:spacing w:after="0" w:line="276" w:lineRule="auto"/>
              <w:jc w:val="center"/>
            </w:pPr>
            <w:r>
              <w:rPr>
                <w:rFonts w:ascii="Times New Roman" w:eastAsia="Times New Roman" w:hAnsi="Times New Roman" w:cs="Times New Roman"/>
                <w:b/>
                <w:sz w:val="26"/>
              </w:rPr>
              <w:t>Hình thức nộp</w:t>
            </w:r>
          </w:p>
        </w:tc>
        <w:tc>
          <w:tcPr>
            <w:tcW w:w="2000" w:type="dxa"/>
          </w:tcPr>
          <w:p w14:paraId="75C5ADDD" w14:textId="77777777" w:rsidR="009552F3" w:rsidRDefault="009552F3"/>
          <w:p w14:paraId="3BABE355" w14:textId="77777777" w:rsidR="009552F3" w:rsidRDefault="00CA06A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C3D0B05" w14:textId="77777777" w:rsidR="009552F3" w:rsidRDefault="009552F3"/>
          <w:p w14:paraId="5CDCA22B" w14:textId="77777777" w:rsidR="009552F3" w:rsidRDefault="00CA06A7">
            <w:pPr>
              <w:spacing w:after="0" w:line="276" w:lineRule="auto"/>
              <w:jc w:val="center"/>
            </w:pPr>
            <w:r>
              <w:rPr>
                <w:rFonts w:ascii="Times New Roman" w:eastAsia="Times New Roman" w:hAnsi="Times New Roman" w:cs="Times New Roman"/>
                <w:b/>
                <w:sz w:val="26"/>
              </w:rPr>
              <w:t>Phí, lệ phí</w:t>
            </w:r>
          </w:p>
        </w:tc>
        <w:tc>
          <w:tcPr>
            <w:tcW w:w="3000" w:type="dxa"/>
          </w:tcPr>
          <w:p w14:paraId="17464648" w14:textId="77777777" w:rsidR="009552F3" w:rsidRDefault="009552F3"/>
          <w:p w14:paraId="7E02F8E4" w14:textId="77777777" w:rsidR="009552F3" w:rsidRDefault="00CA06A7">
            <w:pPr>
              <w:spacing w:after="0" w:line="276" w:lineRule="auto"/>
              <w:jc w:val="center"/>
            </w:pPr>
            <w:r>
              <w:rPr>
                <w:rFonts w:ascii="Times New Roman" w:eastAsia="Times New Roman" w:hAnsi="Times New Roman" w:cs="Times New Roman"/>
                <w:b/>
                <w:sz w:val="26"/>
              </w:rPr>
              <w:t>Mô tả</w:t>
            </w:r>
          </w:p>
        </w:tc>
      </w:tr>
      <w:tr w:rsidR="009552F3" w14:paraId="171AF9F4" w14:textId="77777777">
        <w:tblPrEx>
          <w:tblCellMar>
            <w:top w:w="0" w:type="dxa"/>
            <w:bottom w:w="0" w:type="dxa"/>
          </w:tblCellMar>
        </w:tblPrEx>
        <w:tc>
          <w:tcPr>
            <w:tcW w:w="0" w:type="auto"/>
          </w:tcPr>
          <w:p w14:paraId="24A35FCB" w14:textId="77777777" w:rsidR="009552F3" w:rsidRDefault="009552F3"/>
          <w:p w14:paraId="2A9EB987" w14:textId="77777777" w:rsidR="009552F3" w:rsidRDefault="00CA06A7">
            <w:pPr>
              <w:spacing w:after="0" w:line="276" w:lineRule="auto"/>
            </w:pPr>
            <w:r>
              <w:rPr>
                <w:rFonts w:ascii="Times New Roman" w:eastAsia="Times New Roman" w:hAnsi="Times New Roman" w:cs="Times New Roman"/>
                <w:sz w:val="26"/>
              </w:rPr>
              <w:t>Trực tiếp</w:t>
            </w:r>
          </w:p>
        </w:tc>
        <w:tc>
          <w:tcPr>
            <w:tcW w:w="0" w:type="auto"/>
          </w:tcPr>
          <w:p w14:paraId="26402E29" w14:textId="77777777" w:rsidR="009552F3" w:rsidRDefault="009552F3"/>
          <w:p w14:paraId="0737A4A1" w14:textId="77777777" w:rsidR="009552F3" w:rsidRDefault="00CA06A7">
            <w:pPr>
              <w:spacing w:after="0" w:line="276" w:lineRule="auto"/>
            </w:pPr>
            <w:r>
              <w:rPr>
                <w:rFonts w:ascii="Times New Roman" w:eastAsia="Times New Roman" w:hAnsi="Times New Roman" w:cs="Times New Roman"/>
                <w:sz w:val="26"/>
              </w:rPr>
              <w:t>45 Ngày</w:t>
            </w:r>
          </w:p>
        </w:tc>
        <w:tc>
          <w:tcPr>
            <w:tcW w:w="0" w:type="auto"/>
          </w:tcPr>
          <w:p w14:paraId="7CB35DC5" w14:textId="77777777" w:rsidR="009552F3" w:rsidRDefault="009552F3"/>
          <w:p w14:paraId="082151FF" w14:textId="77777777" w:rsidR="009552F3" w:rsidRDefault="009552F3">
            <w:pPr>
              <w:spacing w:after="0" w:line="276" w:lineRule="auto"/>
            </w:pPr>
          </w:p>
        </w:tc>
        <w:tc>
          <w:tcPr>
            <w:tcW w:w="0" w:type="auto"/>
          </w:tcPr>
          <w:p w14:paraId="015347D5" w14:textId="77777777" w:rsidR="009552F3" w:rsidRDefault="009552F3"/>
          <w:p w14:paraId="72F75F96" w14:textId="77777777" w:rsidR="009552F3" w:rsidRDefault="00CA06A7">
            <w:pPr>
              <w:spacing w:after="0" w:line="276" w:lineRule="auto"/>
            </w:pPr>
            <w:r>
              <w:rPr>
                <w:rFonts w:ascii="Times New Roman" w:eastAsia="Times New Roman" w:hAnsi="Times New Roman" w:cs="Times New Roman"/>
                <w:sz w:val="26"/>
              </w:rPr>
              <w:t>45 ngày  kể từ ngày nhận đầy đủ hồ sơ hợp lệ</w:t>
            </w:r>
          </w:p>
        </w:tc>
      </w:tr>
      <w:tr w:rsidR="009552F3" w14:paraId="7709812C" w14:textId="77777777">
        <w:tblPrEx>
          <w:tblCellMar>
            <w:top w:w="0" w:type="dxa"/>
            <w:bottom w:w="0" w:type="dxa"/>
          </w:tblCellMar>
        </w:tblPrEx>
        <w:tc>
          <w:tcPr>
            <w:tcW w:w="0" w:type="auto"/>
          </w:tcPr>
          <w:p w14:paraId="00F3B96C" w14:textId="77777777" w:rsidR="009552F3" w:rsidRDefault="009552F3"/>
          <w:p w14:paraId="211D050E" w14:textId="77777777" w:rsidR="009552F3" w:rsidRDefault="00CA06A7">
            <w:pPr>
              <w:spacing w:after="0" w:line="276" w:lineRule="auto"/>
            </w:pPr>
            <w:r>
              <w:rPr>
                <w:rFonts w:ascii="Times New Roman" w:eastAsia="Times New Roman" w:hAnsi="Times New Roman" w:cs="Times New Roman"/>
                <w:sz w:val="26"/>
              </w:rPr>
              <w:t>Dịch vụ bưu chính</w:t>
            </w:r>
          </w:p>
        </w:tc>
        <w:tc>
          <w:tcPr>
            <w:tcW w:w="0" w:type="auto"/>
          </w:tcPr>
          <w:p w14:paraId="7157B2FD" w14:textId="77777777" w:rsidR="009552F3" w:rsidRDefault="009552F3"/>
          <w:p w14:paraId="4C7A9580" w14:textId="77777777" w:rsidR="009552F3" w:rsidRDefault="00CA06A7">
            <w:pPr>
              <w:spacing w:after="0" w:line="276" w:lineRule="auto"/>
            </w:pPr>
            <w:r>
              <w:rPr>
                <w:rFonts w:ascii="Times New Roman" w:eastAsia="Times New Roman" w:hAnsi="Times New Roman" w:cs="Times New Roman"/>
                <w:sz w:val="26"/>
              </w:rPr>
              <w:t>45 Ngày</w:t>
            </w:r>
          </w:p>
        </w:tc>
        <w:tc>
          <w:tcPr>
            <w:tcW w:w="0" w:type="auto"/>
          </w:tcPr>
          <w:p w14:paraId="15C61BDB" w14:textId="77777777" w:rsidR="009552F3" w:rsidRDefault="009552F3"/>
          <w:p w14:paraId="6C27578E" w14:textId="77777777" w:rsidR="009552F3" w:rsidRDefault="009552F3">
            <w:pPr>
              <w:spacing w:after="0" w:line="276" w:lineRule="auto"/>
            </w:pPr>
          </w:p>
        </w:tc>
        <w:tc>
          <w:tcPr>
            <w:tcW w:w="0" w:type="auto"/>
          </w:tcPr>
          <w:p w14:paraId="3C56C8DD" w14:textId="77777777" w:rsidR="009552F3" w:rsidRDefault="009552F3"/>
          <w:p w14:paraId="68649DE0" w14:textId="77777777" w:rsidR="009552F3" w:rsidRDefault="00CA06A7">
            <w:pPr>
              <w:spacing w:after="0" w:line="276" w:lineRule="auto"/>
            </w:pPr>
            <w:r>
              <w:rPr>
                <w:rFonts w:ascii="Times New Roman" w:eastAsia="Times New Roman" w:hAnsi="Times New Roman" w:cs="Times New Roman"/>
                <w:sz w:val="26"/>
              </w:rPr>
              <w:t>45 ngày  kể từ ngày nhận đầy đủ hồ sơ hợp lệ</w:t>
            </w:r>
          </w:p>
        </w:tc>
      </w:tr>
    </w:tbl>
    <w:p w14:paraId="42AD7D47" w14:textId="77777777" w:rsidR="009552F3" w:rsidRDefault="00CA06A7">
      <w:pPr>
        <w:spacing w:before="240" w:after="0" w:line="276" w:lineRule="auto"/>
        <w:jc w:val="both"/>
      </w:pPr>
      <w:r>
        <w:rPr>
          <w:rFonts w:ascii="Times New Roman" w:eastAsia="Times New Roman" w:hAnsi="Times New Roman" w:cs="Times New Roman"/>
          <w:b/>
          <w:sz w:val="26"/>
        </w:rPr>
        <w:t xml:space="preserve">Thành phần hồ sơ: </w:t>
      </w:r>
    </w:p>
    <w:p w14:paraId="14ABF638" w14:textId="77777777" w:rsidR="009552F3" w:rsidRDefault="00CA06A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51"/>
        <w:gridCol w:w="1126"/>
        <w:gridCol w:w="934"/>
      </w:tblGrid>
      <w:tr w:rsidR="009552F3" w14:paraId="57F296C6" w14:textId="77777777">
        <w:tblPrEx>
          <w:tblCellMar>
            <w:top w:w="0" w:type="dxa"/>
            <w:bottom w:w="0" w:type="dxa"/>
          </w:tblCellMar>
        </w:tblPrEx>
        <w:tc>
          <w:tcPr>
            <w:tcW w:w="6000" w:type="dxa"/>
          </w:tcPr>
          <w:p w14:paraId="24118BA0" w14:textId="77777777" w:rsidR="009552F3" w:rsidRDefault="009552F3"/>
          <w:p w14:paraId="50264554" w14:textId="77777777" w:rsidR="009552F3" w:rsidRDefault="00CA06A7">
            <w:pPr>
              <w:spacing w:after="0" w:line="276" w:lineRule="auto"/>
              <w:jc w:val="center"/>
            </w:pPr>
            <w:r>
              <w:rPr>
                <w:rFonts w:ascii="Times New Roman" w:eastAsia="Times New Roman" w:hAnsi="Times New Roman" w:cs="Times New Roman"/>
                <w:b/>
                <w:sz w:val="26"/>
              </w:rPr>
              <w:t>Tên giấy tờ</w:t>
            </w:r>
          </w:p>
        </w:tc>
        <w:tc>
          <w:tcPr>
            <w:tcW w:w="2000" w:type="dxa"/>
          </w:tcPr>
          <w:p w14:paraId="673E76F0" w14:textId="77777777" w:rsidR="009552F3" w:rsidRDefault="009552F3"/>
          <w:p w14:paraId="6265C3B4" w14:textId="77777777" w:rsidR="009552F3" w:rsidRDefault="00CA06A7">
            <w:pPr>
              <w:spacing w:after="0" w:line="276" w:lineRule="auto"/>
              <w:jc w:val="center"/>
            </w:pPr>
            <w:r>
              <w:rPr>
                <w:rFonts w:ascii="Times New Roman" w:eastAsia="Times New Roman" w:hAnsi="Times New Roman" w:cs="Times New Roman"/>
                <w:b/>
                <w:sz w:val="26"/>
              </w:rPr>
              <w:t>Mẫu đơn, tờ khai</w:t>
            </w:r>
          </w:p>
        </w:tc>
        <w:tc>
          <w:tcPr>
            <w:tcW w:w="2000" w:type="dxa"/>
          </w:tcPr>
          <w:p w14:paraId="7511CD85" w14:textId="77777777" w:rsidR="009552F3" w:rsidRDefault="009552F3"/>
          <w:p w14:paraId="47064E31" w14:textId="77777777" w:rsidR="009552F3" w:rsidRDefault="00CA06A7">
            <w:pPr>
              <w:spacing w:after="0" w:line="276" w:lineRule="auto"/>
              <w:jc w:val="center"/>
            </w:pPr>
            <w:r>
              <w:rPr>
                <w:rFonts w:ascii="Times New Roman" w:eastAsia="Times New Roman" w:hAnsi="Times New Roman" w:cs="Times New Roman"/>
                <w:b/>
                <w:sz w:val="26"/>
              </w:rPr>
              <w:t>Số lượng</w:t>
            </w:r>
          </w:p>
        </w:tc>
      </w:tr>
      <w:tr w:rsidR="009552F3" w14:paraId="390F5C54" w14:textId="77777777">
        <w:tblPrEx>
          <w:tblCellMar>
            <w:top w:w="0" w:type="dxa"/>
            <w:bottom w:w="0" w:type="dxa"/>
          </w:tblCellMar>
        </w:tblPrEx>
        <w:tc>
          <w:tcPr>
            <w:tcW w:w="0" w:type="auto"/>
          </w:tcPr>
          <w:p w14:paraId="108F1621" w14:textId="77777777" w:rsidR="009552F3" w:rsidRDefault="009552F3"/>
          <w:p w14:paraId="5C50AE8D" w14:textId="77777777" w:rsidR="009552F3" w:rsidRDefault="00CA06A7">
            <w:pPr>
              <w:spacing w:after="0" w:line="276" w:lineRule="auto"/>
            </w:pPr>
            <w:r>
              <w:rPr>
                <w:rFonts w:ascii="Times New Roman" w:eastAsia="Times New Roman" w:hAnsi="Times New Roman" w:cs="Times New Roman"/>
                <w:sz w:val="26"/>
              </w:rPr>
              <w:t>1. Hồ sơ đề nghị chấp thuận việc góp vốn, mua cổ phần để thành lập, mua lại công ty con, công ty liên kết quy định tại điểm a, c khoản 1 Điều 1 Thông tư số 25/2024/TT-NHNN ngày 28 tháng 6 năm 2024 (trừ công ty con, công ty liên kết là công ty hoạt động trong lĩnh vực quản lý nợ và khai thác tài sản) gồm: a) Văn bản của tổ chức tín dụng đề nghị chấp thuận việc góp vốn, mua cổ phần quy định tại Phụ lục ban hành kèm theo Thông tư số 25/2024/TT-NHNN ngày 28 tháng 6 năm 2024; b) Văn bản của cấp có thẩm quyền của</w:t>
            </w:r>
            <w:r>
              <w:rPr>
                <w:rFonts w:ascii="Times New Roman" w:eastAsia="Times New Roman" w:hAnsi="Times New Roman" w:cs="Times New Roman"/>
                <w:sz w:val="26"/>
              </w:rPr>
              <w:t xml:space="preserve"> tổ chức tín dụng thông qua phương án góp vốn, mua cổ phần; c) Đề án của tổ chức tín dụng về việc góp vốn, mua cổ phần, trong đó tối thiểu bao gồm những nội dung sau:  (i) Tên (bằng tiếng Việt và tiếng nước ngoài), địa chỉ trụ sở chính của tổ chức tín dụng thực hiện góp vốn, mua cổ phần; (ii) Tên (bằng tiếng Việt và tiếng nước ngoài), địa chỉ trụ sở chính, nội dung hoạt động, thời hạn hoạt động của doanh nghiệp nhận góp vốn, mua cổ phần; (iii) Lý do, sự cần thiết của việc góp vốn, mua cổ phần; (iv) Dự kiến </w:t>
            </w:r>
            <w:r>
              <w:rPr>
                <w:rFonts w:ascii="Times New Roman" w:eastAsia="Times New Roman" w:hAnsi="Times New Roman" w:cs="Times New Roman"/>
                <w:sz w:val="26"/>
              </w:rPr>
              <w:t xml:space="preserve">số tiền góp vốn, tỷ lệ vốn góp; dự kiến số cổ phần và tỷ lệ sở hữu cổ phần tại doanh nghiệp nhận góp vốn, mua cổ phần; (v) Vốn điều lệ, giá trị thực của vốn điều lệ của tổ chức tín dụng trước khi thực hiện góp vốn, mua cổ phần; (vi) Dự kiến vốn điều lệ, giá trị thực của vốn điều lệ của tổ chức tín dụng thực hiện góp vốn, mua cổ phần tại thời điểm hoàn tất việc góp vốn, mua cổ phần; (vii) Tỷ lệ nợ xấu của từng tháng trong 12 tháng liền kề trước tháng đề nghị; (viii) Tình hình chấp hành quy định về phân loại </w:t>
            </w:r>
            <w:r>
              <w:rPr>
                <w:rFonts w:ascii="Times New Roman" w:eastAsia="Times New Roman" w:hAnsi="Times New Roman" w:cs="Times New Roman"/>
                <w:sz w:val="26"/>
              </w:rPr>
              <w:t xml:space="preserve">nợ, trích lập và sử dụng dự phòng để xử lý rủi ro, góp vốn, mua cổ phần trong 12 tháng liền kề trước tháng đề nghị; (ix) Tỷ lệ an toàn vốn tối thiểu trong 12 tháng liền kề (đối với trường hợp góp vốn, mua cổ phần để thành lập, mua lại công ty liên kết) hoặc 24 tháng liền kề (đối với trường hợp góp vốn, mua cổ phần để thành lập, mua lại công ty con) trước tháng đề nghị và tại thời điểm hoàn tất việc góp vốn, mua cổ phần; (x) Thông tin về việc tuân thủ giới hạn góp vốn, mua cổ phần theo quy định tại Điều 137 </w:t>
            </w:r>
            <w:r>
              <w:rPr>
                <w:rFonts w:ascii="Times New Roman" w:eastAsia="Times New Roman" w:hAnsi="Times New Roman" w:cs="Times New Roman"/>
                <w:sz w:val="26"/>
              </w:rPr>
              <w:t>Luật Các tổ chức tín dụng trong 12 tháng liền kề (đối với trường hợp góp vốn, mua cổ phần để thành lập, mua lại công ty liên kết) hoặc 24 tháng liền kề (đối với trường hợp góp vốn, mua cổ phần để thành lập, mua lại công ty con) trước tháng đề nghị và tại thời điểm hoàn tất việc góp vốn, mua cổ phần; (xi) Cơ cấu tổ chức quản lý của tổ chức tín dụng; số lượng thành viên, cơ cấu, nhiệm kỳ Hội đồng quản trị, Hội đồng thành viên, Ban kiểm soát, Tổng Giám đốc (Giám đốc) theo quy định của Luật Các tổ chức tín dụng</w:t>
            </w:r>
            <w:r>
              <w:rPr>
                <w:rFonts w:ascii="Times New Roman" w:eastAsia="Times New Roman" w:hAnsi="Times New Roman" w:cs="Times New Roman"/>
                <w:sz w:val="26"/>
              </w:rPr>
              <w:t xml:space="preserve"> tại thời điểm đề </w:t>
            </w:r>
            <w:r>
              <w:rPr>
                <w:rFonts w:ascii="Times New Roman" w:eastAsia="Times New Roman" w:hAnsi="Times New Roman" w:cs="Times New Roman"/>
                <w:sz w:val="26"/>
              </w:rPr>
              <w:lastRenderedPageBreak/>
              <w:t>nghị; (xii) Cổ đông lớn và người có liên quan của cổ đông lớn của công ty con, công ty liên kết sau khi được thành lập, mua lại bởi tổ chức tín dụng theo quy định của Luật các tổ chức tín dụng và quy định của Ngân hàng Nhà nước; (xiii) Đánh giá tác động của việc góp vốn, mua cổ phần đến tình hình tài chính, quản trị, điều hành và hoạt động của tổ chức tín dụng; d) Báo cáo tài chính của năm liền kề trước năm đề nghị của tổ chức tín dụng đã được kiểm toán bởi tổ chức kiểm toán độc lập; đ) Bả</w:t>
            </w:r>
            <w:r>
              <w:rPr>
                <w:rFonts w:ascii="Times New Roman" w:eastAsia="Times New Roman" w:hAnsi="Times New Roman" w:cs="Times New Roman"/>
                <w:sz w:val="26"/>
              </w:rPr>
              <w:t>n sao Giấy chứng nhận đăng ký doanh nghiệp của doanh nghiệp nhận góp vốn, mua cổ phần.</w:t>
            </w:r>
          </w:p>
        </w:tc>
        <w:tc>
          <w:tcPr>
            <w:tcW w:w="0" w:type="auto"/>
          </w:tcPr>
          <w:p w14:paraId="1E454AC4" w14:textId="77777777" w:rsidR="009552F3" w:rsidRDefault="009552F3"/>
          <w:p w14:paraId="6351F820" w14:textId="77777777" w:rsidR="009552F3" w:rsidRDefault="00CA06A7">
            <w:pPr>
              <w:spacing w:after="0" w:line="276" w:lineRule="auto"/>
            </w:pPr>
            <w:r>
              <w:rPr>
                <w:rFonts w:ascii="Times New Roman" w:eastAsia="Times New Roman" w:hAnsi="Times New Roman" w:cs="Times New Roman"/>
                <w:sz w:val="26"/>
              </w:rPr>
              <w:t>Phụ lục.docx</w:t>
            </w:r>
          </w:p>
        </w:tc>
        <w:tc>
          <w:tcPr>
            <w:tcW w:w="0" w:type="auto"/>
          </w:tcPr>
          <w:p w14:paraId="5AA8C2EF" w14:textId="77777777" w:rsidR="009552F3" w:rsidRDefault="009552F3"/>
          <w:p w14:paraId="174B2677" w14:textId="77777777" w:rsidR="009552F3" w:rsidRDefault="00CA06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552F3" w14:paraId="1C5DDE6F" w14:textId="77777777">
        <w:tblPrEx>
          <w:tblCellMar>
            <w:top w:w="0" w:type="dxa"/>
            <w:bottom w:w="0" w:type="dxa"/>
          </w:tblCellMar>
        </w:tblPrEx>
        <w:tc>
          <w:tcPr>
            <w:tcW w:w="0" w:type="auto"/>
          </w:tcPr>
          <w:p w14:paraId="1D55C5BB" w14:textId="77777777" w:rsidR="009552F3" w:rsidRDefault="009552F3"/>
          <w:p w14:paraId="7E8F47C9" w14:textId="77777777" w:rsidR="009552F3" w:rsidRDefault="00CA06A7">
            <w:pPr>
              <w:spacing w:after="0" w:line="276" w:lineRule="auto"/>
            </w:pPr>
            <w:r>
              <w:rPr>
                <w:rFonts w:ascii="Times New Roman" w:eastAsia="Times New Roman" w:hAnsi="Times New Roman" w:cs="Times New Roman"/>
                <w:sz w:val="26"/>
              </w:rPr>
              <w:t>2. Hồ sơ đề nghị chấp thuận việc góp vốn, mua cổ phần để thành lập, mua lại công ty con, công ty liên kết hoạt động trong lĩnh vực quản lý nợ và khai thác tài sản gồm: a) Văn bản của tổ chức tín dụng đề nghị chấp thuận việc góp vốn, mua cổ phần quy định tại Phụ lục ban hành kèm theo Thông tư số 25/2024/TT-NHNN ngày 28 tháng 6 năm 2024; b) Văn bản của cấp có thẩm quyền của tổ chức tín dụng thông qua phương án góp vốn, mua cổ phần; c) Bản sao Giấy chứng nhận đăng ký doanh nghiệp của doanh nghiệp nhận góp vốn,</w:t>
            </w:r>
            <w:r>
              <w:rPr>
                <w:rFonts w:ascii="Times New Roman" w:eastAsia="Times New Roman" w:hAnsi="Times New Roman" w:cs="Times New Roman"/>
                <w:sz w:val="26"/>
              </w:rPr>
              <w:t xml:space="preserve"> mua cổ phần; d) Đề án của tổ chức tín dụng về việc góp vốn, mua cổ phần, trong đó tối thiểu bao gồm những nội dung sau: (i) Tên (bằng tiếng Việt và tiếng nước ngoài), địa chỉ trụ sở chính của tổ chức tín dụng thực hiện góp vốn, mua cổ phần; (ii) Tên (bằng tiếng Việt và tiếng nước ngoài), địa chỉ trụ sở chính, nội dung hoạt động, thời hạn hoạt động của doanh nghiệp nhận góp vốn, mua cổ phần; (iii) Lý do, sự cần thiết của việc góp vốn, mua cổ phần; (iv) Dự kiến số tiền góp vốn, tỷ lệ vốn góp; dự kiến số cổ p</w:t>
            </w:r>
            <w:r>
              <w:rPr>
                <w:rFonts w:ascii="Times New Roman" w:eastAsia="Times New Roman" w:hAnsi="Times New Roman" w:cs="Times New Roman"/>
                <w:sz w:val="26"/>
              </w:rPr>
              <w:t xml:space="preserve">hần và tỷ lệ sở hữu cổ phần tại doanh nghiệp nhận góp vốn, mua cổ phần; (v) Vốn điều lệ, giá trị thực của vốn điều lệ của tổ chức tín dụng trước khi thực hiện góp vốn, mua cổ phần; (vi) Dự kiến vốn điều lệ, giá trị thực của vốn điều lệ của tổ chức tín dụng thực hiện góp vốn, mua cổ phần tại thời điểm hoàn tất việc góp vốn, mua cổ phần; (vii) Thông tin về tỷ lệ an toàn vốn tối thiểu, việc tuân thủ giới hạn góp vốn, mua cổ phần theo quy định tại Điều 137 Luật Các tổ chức tín dụng tại thời điểm đề nghị và tại </w:t>
            </w:r>
            <w:r>
              <w:rPr>
                <w:rFonts w:ascii="Times New Roman" w:eastAsia="Times New Roman" w:hAnsi="Times New Roman" w:cs="Times New Roman"/>
                <w:sz w:val="26"/>
              </w:rPr>
              <w:t>thời điểm hoàn tất việc góp vốn, mua cổ phần.</w:t>
            </w:r>
          </w:p>
        </w:tc>
        <w:tc>
          <w:tcPr>
            <w:tcW w:w="0" w:type="auto"/>
          </w:tcPr>
          <w:p w14:paraId="59C1D457" w14:textId="77777777" w:rsidR="009552F3" w:rsidRDefault="009552F3"/>
          <w:p w14:paraId="7BFC0437" w14:textId="77777777" w:rsidR="009552F3" w:rsidRDefault="00CA06A7">
            <w:pPr>
              <w:spacing w:after="0" w:line="276" w:lineRule="auto"/>
            </w:pPr>
            <w:r>
              <w:rPr>
                <w:rFonts w:ascii="Times New Roman" w:eastAsia="Times New Roman" w:hAnsi="Times New Roman" w:cs="Times New Roman"/>
                <w:sz w:val="26"/>
              </w:rPr>
              <w:t>Phụ lục.docx</w:t>
            </w:r>
          </w:p>
        </w:tc>
        <w:tc>
          <w:tcPr>
            <w:tcW w:w="0" w:type="auto"/>
          </w:tcPr>
          <w:p w14:paraId="0E3AA06E" w14:textId="77777777" w:rsidR="009552F3" w:rsidRDefault="009552F3"/>
          <w:p w14:paraId="7A29458B" w14:textId="77777777" w:rsidR="009552F3" w:rsidRDefault="00CA06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552F3" w14:paraId="31421CBB" w14:textId="77777777">
        <w:tblPrEx>
          <w:tblCellMar>
            <w:top w:w="0" w:type="dxa"/>
            <w:bottom w:w="0" w:type="dxa"/>
          </w:tblCellMar>
        </w:tblPrEx>
        <w:tc>
          <w:tcPr>
            <w:tcW w:w="0" w:type="auto"/>
          </w:tcPr>
          <w:p w14:paraId="582B0264" w14:textId="77777777" w:rsidR="009552F3" w:rsidRDefault="009552F3"/>
          <w:p w14:paraId="0507ADC5" w14:textId="77777777" w:rsidR="009552F3" w:rsidRDefault="00CA06A7">
            <w:pPr>
              <w:spacing w:after="0" w:line="276" w:lineRule="auto"/>
            </w:pPr>
            <w:r>
              <w:rPr>
                <w:rFonts w:ascii="Times New Roman" w:eastAsia="Times New Roman" w:hAnsi="Times New Roman" w:cs="Times New Roman"/>
                <w:sz w:val="26"/>
              </w:rPr>
              <w:t xml:space="preserve">3. Hồ sơ đề nghị chấp thuận việc góp vốn, mua cổ phần đối với doanh nghiệp khác hoạt động trong các lĩnh vực quy định tại điểm b khoản 1 Điều 1 Thông tư số 25/2024/TT-NHNN ngày 28 tháng 6 năm 2024 </w:t>
            </w:r>
            <w:r>
              <w:rPr>
                <w:rFonts w:ascii="Times New Roman" w:eastAsia="Times New Roman" w:hAnsi="Times New Roman" w:cs="Times New Roman"/>
                <w:sz w:val="26"/>
              </w:rPr>
              <w:lastRenderedPageBreak/>
              <w:t>gồm: a) Văn bản của tổ chức tín dụng đề nghị chấp thuận việc góp vốn, mua cổ phần quy định tại Phụ lục ban hành kèm theo Thông tư số 25/2024/TT-NHNN ngày 28 tháng 6 năm 2024; b) Văn bản của cấp có thẩm quyền của tổ chức tín dụng thông qua phương án góp vốn, mua cổ phần; c) Báo cáo tài chính của năm liền kề trước năm đề nghị của tổ chức tín dụng đã được kiểm toán bởi tổ chức kiểm toán độc lập; d) Bản sao Giấy chứng nhận đăng ký doanh nghiệp của doanh nghiệp nhận góp vốn, mua cổ phần. đ) Đề án của tổ chức tín</w:t>
            </w:r>
            <w:r>
              <w:rPr>
                <w:rFonts w:ascii="Times New Roman" w:eastAsia="Times New Roman" w:hAnsi="Times New Roman" w:cs="Times New Roman"/>
                <w:sz w:val="26"/>
              </w:rPr>
              <w:t xml:space="preserve"> dụng về việc góp vốn, mua cổ phần, trong đó tối thiểu bao gồm những nội dung sau:  (i) Tên (bằng tiếng Việt và tiếng nước ngoài), địa chỉ trụ sở chính của tổ chức tín dụng thực hiện góp vốn, mua cổ phần; (ii) Tên (bằng tiếng Việt và tiếng nước ngoài), địa chỉ trụ sở chính, nội dung hoạt động, thời hạn hoạt động của doanh nghiệp nhận góp vốn, mua cổ phần; (iii) Lý do, sự cần thiết của việc góp vốn, mua cổ phần; (iv) Dự kiến số tiền góp vốn, tỷ lệ vốn góp; dự kiến số cổ phần và tỷ lệ sở hữu cổ phần tại doanh</w:t>
            </w:r>
            <w:r>
              <w:rPr>
                <w:rFonts w:ascii="Times New Roman" w:eastAsia="Times New Roman" w:hAnsi="Times New Roman" w:cs="Times New Roman"/>
                <w:sz w:val="26"/>
              </w:rPr>
              <w:t xml:space="preserve"> nghiệp nhận góp vốn, mua cổ phần; (v) Vốn điều lệ, giá trị thực của vốn điều lệ của tổ chức tín dụng trước khi thực hiện góp vốn, mua cổ phần; (vi) Dự kiến vốn điều lệ, giá trị thực của vốn điều lệ của tổ chức tín dụng thực hiện góp vốn, mua cổ phần tại thời điểm hoàn tất việc góp vốn, mua cổ phần; (vii) Tỷ lệ nợ xấu của từng tháng trong 12 tháng liền kề trước tháng đề nghị; (viii) Tình hình chấp hành quy định về phân loại nợ, trích lập và sử dụng dự phòng để xử lý rủi ro, góp vốn, mua cổ phần trong 12 thá</w:t>
            </w:r>
            <w:r>
              <w:rPr>
                <w:rFonts w:ascii="Times New Roman" w:eastAsia="Times New Roman" w:hAnsi="Times New Roman" w:cs="Times New Roman"/>
                <w:sz w:val="26"/>
              </w:rPr>
              <w:t>ng liền kề trước tháng đề nghị; (ix) Cơ cấu tổ chức quản lý của tổ chức tín dụng; số lượng thành viên, cơ cấu, nhiệm kỳ Hội đồng quản trị, Hội đồng thành viên, Ban kiểm soát, Tổng Giám đốc (Giám đốc) theo quy định của Luật Các tổ chức tín dụng tại thời điểm đề nghị; (x) Cổ đông lớn và người có liên quan của cổ đông lớn của công ty con, công ty liên kết sau khi được thành lập, mua lại bởi tổ chức tín dụng theo quy định của Luật các tổ chức tín dụng và quy định của Ngân hàng Nhà nước; (xi) Đánh giá tác động c</w:t>
            </w:r>
            <w:r>
              <w:rPr>
                <w:rFonts w:ascii="Times New Roman" w:eastAsia="Times New Roman" w:hAnsi="Times New Roman" w:cs="Times New Roman"/>
                <w:sz w:val="26"/>
              </w:rPr>
              <w:t>ủa việc góp vốn, mua cổ phần đến tình hình tài chính, quản trị, điều hành và hoạt động của tổ chức tín dụng; (xii) Tỷ lệ an toàn vốn tối thiểu trong 24 tháng liền kề trước tháng đề nghị và tại thời điểm hoàn tất việc góp vốn, mua cổ phần; (xiii) Thông tin về việc tuân thủ giới hạn góp vốn, mua cổ phần theo quy định tại Điều 137 Luật Các tổ chức tín dụng trong 24 tháng liền kề trước tháng đề nghị và tại thời điểm hoàn tất việc góp vốn, mua cổ phần;  (xiv) Tỷ lệ tối đa của nguồn vốn ngắn hạn được sử dụng để c</w:t>
            </w:r>
            <w:r>
              <w:rPr>
                <w:rFonts w:ascii="Times New Roman" w:eastAsia="Times New Roman" w:hAnsi="Times New Roman" w:cs="Times New Roman"/>
                <w:sz w:val="26"/>
              </w:rPr>
              <w:t xml:space="preserve">ho vay trung hạn và dài hạn trong 24 tháng liền kề trước tháng đề nghị và tại thời điểm </w:t>
            </w:r>
            <w:r>
              <w:rPr>
                <w:rFonts w:ascii="Times New Roman" w:eastAsia="Times New Roman" w:hAnsi="Times New Roman" w:cs="Times New Roman"/>
                <w:sz w:val="26"/>
              </w:rPr>
              <w:lastRenderedPageBreak/>
              <w:t>hoàn tất việc góp vốn, mua cổ phần.</w:t>
            </w:r>
          </w:p>
        </w:tc>
        <w:tc>
          <w:tcPr>
            <w:tcW w:w="0" w:type="auto"/>
          </w:tcPr>
          <w:p w14:paraId="12A20036" w14:textId="77777777" w:rsidR="009552F3" w:rsidRDefault="009552F3"/>
          <w:p w14:paraId="6BEEE072" w14:textId="77777777" w:rsidR="009552F3" w:rsidRDefault="00CA06A7">
            <w:pPr>
              <w:spacing w:after="0" w:line="276" w:lineRule="auto"/>
            </w:pPr>
            <w:r>
              <w:rPr>
                <w:rFonts w:ascii="Times New Roman" w:eastAsia="Times New Roman" w:hAnsi="Times New Roman" w:cs="Times New Roman"/>
                <w:sz w:val="26"/>
              </w:rPr>
              <w:t>Phụ lục.docx</w:t>
            </w:r>
          </w:p>
        </w:tc>
        <w:tc>
          <w:tcPr>
            <w:tcW w:w="0" w:type="auto"/>
          </w:tcPr>
          <w:p w14:paraId="46256488" w14:textId="77777777" w:rsidR="009552F3" w:rsidRDefault="009552F3"/>
          <w:p w14:paraId="238E9DA2" w14:textId="77777777" w:rsidR="009552F3" w:rsidRDefault="00CA06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9552F3" w14:paraId="23B03003" w14:textId="77777777">
        <w:tblPrEx>
          <w:tblCellMar>
            <w:top w:w="0" w:type="dxa"/>
            <w:bottom w:w="0" w:type="dxa"/>
          </w:tblCellMar>
        </w:tblPrEx>
        <w:tc>
          <w:tcPr>
            <w:tcW w:w="0" w:type="auto"/>
          </w:tcPr>
          <w:p w14:paraId="5054F358" w14:textId="77777777" w:rsidR="009552F3" w:rsidRDefault="009552F3"/>
          <w:p w14:paraId="660866C2" w14:textId="77777777" w:rsidR="009552F3" w:rsidRDefault="00CA06A7">
            <w:pPr>
              <w:spacing w:after="0" w:line="276" w:lineRule="auto"/>
            </w:pPr>
            <w:r>
              <w:rPr>
                <w:rFonts w:ascii="Times New Roman" w:eastAsia="Times New Roman" w:hAnsi="Times New Roman" w:cs="Times New Roman"/>
                <w:sz w:val="26"/>
              </w:rPr>
              <w:t>4. Hồ sơ đề nghị chấp thuận việc chuyển nợ thành vốn góp, vốn cổ phần quy định tại điểm d khoản 1 Điều 1 Thông tư số 25/2024/TT-NHNN ngày 28 tháng 6 năm 2024 gồm: a) Văn bản của tổ chức tín dụng đề nghị chấp thuận việc góp vốn, mua cổ phần quy định tại Phụ lục ban hành kèm theo Thông tư số 25/2024/TT-NHNN ngày 28 tháng 6 năm 2024; b) Văn bản của cấp có thẩm quyền của tổ chức tín dụng thông qua phương án góp vốn, mua cổ phần; c) Báo cáo tài chính của năm liền kề trước năm đề nghị của tổ chức tín dụng đã được</w:t>
            </w:r>
            <w:r>
              <w:rPr>
                <w:rFonts w:ascii="Times New Roman" w:eastAsia="Times New Roman" w:hAnsi="Times New Roman" w:cs="Times New Roman"/>
                <w:sz w:val="26"/>
              </w:rPr>
              <w:t xml:space="preserve"> kiểm toán bởi tổ chức kiểm toán độc lập; d) Bản sao Giấy chứng nhận đăng ký doanh nghiệp của doanh nghiệp có khoản nợ được chuyển thành vốn góp, vốn cổ phần; đ) Đề án của tổ chức tín dụng về việc góp vốn, mua cổ phần, trong đó tối thiểu bao gồm những nội dung sau: (i) Tên (bằng tiếng Việt và tiếng nước ngoài), địa chỉ trụ sở chính của tổ chức tín dụng thực hiện góp vốn, mua cổ phần; (ii) Tên (bằng tiếng Việt và tiếng nước ngoài), địa chỉ trụ sở chính, nội dung hoạt động, thời hạn hoạt động của doanh nghiệp</w:t>
            </w:r>
            <w:r>
              <w:rPr>
                <w:rFonts w:ascii="Times New Roman" w:eastAsia="Times New Roman" w:hAnsi="Times New Roman" w:cs="Times New Roman"/>
                <w:sz w:val="26"/>
              </w:rPr>
              <w:t xml:space="preserve"> nhận góp vốn, mua cổ phần; (iii) Lý do, sự cần thiết của việc góp vốn, mua cổ phần; (iv) Dự kiến số tiền góp vốn, tỷ lệ vốn góp; dự kiến số cổ phần và tỷ lệ sở hữu cổ phần tại doanh nghiệp nhận góp vốn, mua cổ phần; (v) Vốn điều lệ, giá trị thực của vốn điều lệ của tổ chức tín dụng trước khi thực hiện góp vốn, mua cổ phần; (vi) Dự kiến vốn điều lệ, giá trị thực của vốn điều lệ của tổ chức tín dụng thực hiện góp vốn, mua cổ phần tại thời điểm hoàn tất việc góp vốn, mua cổ phần; (vii) Tình hình chấp hành quy</w:t>
            </w:r>
            <w:r>
              <w:rPr>
                <w:rFonts w:ascii="Times New Roman" w:eastAsia="Times New Roman" w:hAnsi="Times New Roman" w:cs="Times New Roman"/>
                <w:sz w:val="26"/>
              </w:rPr>
              <w:t xml:space="preserve"> định về phân loại nợ, trích lập và sử dụng dự phòng để xử lý rủi ro, góp vốn, mua cổ phần trong 12 tháng liền kề trước tháng đề nghị; (viii) Cơ cấu tổ chức quản lý của tổ chức tín dụng; số lượng thành viên, cơ cấu, nhiệm kỳ Hội đồng quản trị, Hội đồng thành viên, Ban kiểm soát, Tổng Giám đốc (Giám đốc) theo quy định của Luật Các tổ chức tín dụng tại thời điểm đề nghị; (ix) Cổ đông lớn và người có liên quan của cổ đông lớn của công ty con, công ty liên kết sau khi được thành lập, mua lại bởi tổ chức tín dụn</w:t>
            </w:r>
            <w:r>
              <w:rPr>
                <w:rFonts w:ascii="Times New Roman" w:eastAsia="Times New Roman" w:hAnsi="Times New Roman" w:cs="Times New Roman"/>
                <w:sz w:val="26"/>
              </w:rPr>
              <w:t xml:space="preserve">g theo quy định của Luật các tổ chức tín dụng và quy định của Ngân hàng Nhà nước; (x) Đánh giá tác động của việc góp vốn, mua cổ phần đến tình hình tài chính, quản trị, điều hành và hoạt động của tổ chức tín dụng; (xi) Tỷ lệ an toàn vốn tối thiểu trong 24 tháng liền kề trước tháng đề nghị và tại thời điểm hoàn tất việc góp vốn, mua cổ phần; (xii) Thông tin về việc tuân thủ giới hạn góp vốn, mua cổ phần theo quy định tại Điều 137 Luật Các tổ </w:t>
            </w:r>
            <w:r>
              <w:rPr>
                <w:rFonts w:ascii="Times New Roman" w:eastAsia="Times New Roman" w:hAnsi="Times New Roman" w:cs="Times New Roman"/>
                <w:sz w:val="26"/>
              </w:rPr>
              <w:lastRenderedPageBreak/>
              <w:t>chức tín dụng trong 24 tháng liền kề trước tháng đề nghị và tại thờ</w:t>
            </w:r>
            <w:r>
              <w:rPr>
                <w:rFonts w:ascii="Times New Roman" w:eastAsia="Times New Roman" w:hAnsi="Times New Roman" w:cs="Times New Roman"/>
                <w:sz w:val="26"/>
              </w:rPr>
              <w:t>i điểm hoàn tất việc góp vốn, mua cổ phần; (xiii) Thông tin về khoản nợ được chuyển thành vốn góp, vốn cổ phần, gồm: Thực trạng của khoản nợ được dự kiến chuyển thành vốn góp, vốn cổ phần (số dư của khoản nợ, nhóm nợ, khả năng thu hồi khoản nợ); số vốn góp, tỷ lệ vốn góp hoặc số cổ phần, tỷ lệ sở hữu cổ phần được hình thành từ việc chuyển nợ thành vốn góp, vốn cổ phần.</w:t>
            </w:r>
          </w:p>
        </w:tc>
        <w:tc>
          <w:tcPr>
            <w:tcW w:w="0" w:type="auto"/>
          </w:tcPr>
          <w:p w14:paraId="6B5B20FA" w14:textId="77777777" w:rsidR="009552F3" w:rsidRDefault="009552F3"/>
          <w:p w14:paraId="220D045E" w14:textId="77777777" w:rsidR="009552F3" w:rsidRDefault="00CA06A7">
            <w:pPr>
              <w:spacing w:after="0" w:line="276" w:lineRule="auto"/>
            </w:pPr>
            <w:r>
              <w:rPr>
                <w:rFonts w:ascii="Times New Roman" w:eastAsia="Times New Roman" w:hAnsi="Times New Roman" w:cs="Times New Roman"/>
                <w:sz w:val="26"/>
              </w:rPr>
              <w:t>Phụ lục.docx</w:t>
            </w:r>
          </w:p>
        </w:tc>
        <w:tc>
          <w:tcPr>
            <w:tcW w:w="0" w:type="auto"/>
          </w:tcPr>
          <w:p w14:paraId="686D5334" w14:textId="77777777" w:rsidR="009552F3" w:rsidRDefault="009552F3"/>
          <w:p w14:paraId="451DCF8D" w14:textId="77777777" w:rsidR="009552F3" w:rsidRDefault="00CA06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92EAA1F" w14:textId="77777777" w:rsidR="009552F3" w:rsidRDefault="00CA06A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4E414898" w14:textId="77777777" w:rsidR="009552F3" w:rsidRDefault="00CA06A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Ngân hàng Nhà nước Việt Nam</w:t>
      </w:r>
    </w:p>
    <w:p w14:paraId="398AC72F" w14:textId="77777777" w:rsidR="009552F3" w:rsidRDefault="00CA06A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C08395B" w14:textId="77777777" w:rsidR="009552F3" w:rsidRDefault="00CA06A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phận Một cửa Ngân hàng Nhà nước Việt Nam 49 Lý Thái Tổ, Hoàn Kiếm, Hà Nội</w:t>
      </w:r>
    </w:p>
    <w:p w14:paraId="028D2563" w14:textId="77777777" w:rsidR="009552F3" w:rsidRDefault="00CA06A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BE00BD2" w14:textId="77777777" w:rsidR="009552F3" w:rsidRDefault="00CA06A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D3274B8" w14:textId="77777777" w:rsidR="009552F3" w:rsidRDefault="00CA06A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việc góp vốn, mua cổ phần của tổ chức tín dụng, Văn bản không chấp thuận việc góp vốn, mua cổ phần của tổ chức tín dụng</w:t>
      </w:r>
    </w:p>
    <w:p w14:paraId="73B4AA4E" w14:textId="77777777" w:rsidR="009552F3" w:rsidRDefault="00CA06A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227"/>
        <w:gridCol w:w="4724"/>
        <w:gridCol w:w="920"/>
        <w:gridCol w:w="1554"/>
      </w:tblGrid>
      <w:tr w:rsidR="009552F3" w14:paraId="7E6C955E" w14:textId="77777777">
        <w:tblPrEx>
          <w:tblCellMar>
            <w:top w:w="0" w:type="dxa"/>
            <w:bottom w:w="0" w:type="dxa"/>
          </w:tblCellMar>
        </w:tblPrEx>
        <w:tc>
          <w:tcPr>
            <w:tcW w:w="2000" w:type="dxa"/>
          </w:tcPr>
          <w:p w14:paraId="74F66F04" w14:textId="77777777" w:rsidR="009552F3" w:rsidRDefault="009552F3"/>
          <w:p w14:paraId="2D0DCFE2" w14:textId="77777777" w:rsidR="009552F3" w:rsidRDefault="00CA06A7">
            <w:pPr>
              <w:spacing w:after="0" w:line="276" w:lineRule="auto"/>
              <w:jc w:val="center"/>
            </w:pPr>
            <w:r>
              <w:rPr>
                <w:rFonts w:ascii="Times New Roman" w:eastAsia="Times New Roman" w:hAnsi="Times New Roman" w:cs="Times New Roman"/>
                <w:b/>
                <w:sz w:val="26"/>
              </w:rPr>
              <w:t>Số ký hiệu</w:t>
            </w:r>
          </w:p>
        </w:tc>
        <w:tc>
          <w:tcPr>
            <w:tcW w:w="3500" w:type="dxa"/>
          </w:tcPr>
          <w:p w14:paraId="05ECEC71" w14:textId="77777777" w:rsidR="009552F3" w:rsidRDefault="009552F3"/>
          <w:p w14:paraId="6D376EA2" w14:textId="77777777" w:rsidR="009552F3" w:rsidRDefault="00CA06A7">
            <w:pPr>
              <w:spacing w:after="0" w:line="276" w:lineRule="auto"/>
              <w:jc w:val="center"/>
            </w:pPr>
            <w:r>
              <w:rPr>
                <w:rFonts w:ascii="Times New Roman" w:eastAsia="Times New Roman" w:hAnsi="Times New Roman" w:cs="Times New Roman"/>
                <w:b/>
                <w:sz w:val="26"/>
              </w:rPr>
              <w:t>Trích yếu</w:t>
            </w:r>
          </w:p>
        </w:tc>
        <w:tc>
          <w:tcPr>
            <w:tcW w:w="1500" w:type="dxa"/>
          </w:tcPr>
          <w:p w14:paraId="029C36EA" w14:textId="77777777" w:rsidR="009552F3" w:rsidRDefault="009552F3"/>
          <w:p w14:paraId="3DF35E70" w14:textId="77777777" w:rsidR="009552F3" w:rsidRDefault="00CA06A7">
            <w:pPr>
              <w:spacing w:after="0" w:line="276" w:lineRule="auto"/>
              <w:jc w:val="center"/>
            </w:pPr>
            <w:r>
              <w:rPr>
                <w:rFonts w:ascii="Times New Roman" w:eastAsia="Times New Roman" w:hAnsi="Times New Roman" w:cs="Times New Roman"/>
                <w:b/>
                <w:sz w:val="26"/>
              </w:rPr>
              <w:t>Ngày ban hành</w:t>
            </w:r>
          </w:p>
        </w:tc>
        <w:tc>
          <w:tcPr>
            <w:tcW w:w="3000" w:type="dxa"/>
          </w:tcPr>
          <w:p w14:paraId="3C7AC7B5" w14:textId="77777777" w:rsidR="009552F3" w:rsidRDefault="009552F3"/>
          <w:p w14:paraId="4D4C2D24" w14:textId="77777777" w:rsidR="009552F3" w:rsidRDefault="00CA06A7">
            <w:pPr>
              <w:spacing w:after="0" w:line="276" w:lineRule="auto"/>
              <w:jc w:val="center"/>
            </w:pPr>
            <w:r>
              <w:rPr>
                <w:rFonts w:ascii="Times New Roman" w:eastAsia="Times New Roman" w:hAnsi="Times New Roman" w:cs="Times New Roman"/>
                <w:b/>
                <w:sz w:val="26"/>
              </w:rPr>
              <w:t>Cơ quan ban hành</w:t>
            </w:r>
          </w:p>
        </w:tc>
      </w:tr>
      <w:tr w:rsidR="009552F3" w14:paraId="7120B9A0" w14:textId="77777777">
        <w:tblPrEx>
          <w:tblCellMar>
            <w:top w:w="0" w:type="dxa"/>
            <w:bottom w:w="0" w:type="dxa"/>
          </w:tblCellMar>
        </w:tblPrEx>
        <w:tc>
          <w:tcPr>
            <w:tcW w:w="0" w:type="auto"/>
          </w:tcPr>
          <w:p w14:paraId="26AB2871" w14:textId="77777777" w:rsidR="009552F3" w:rsidRDefault="009552F3"/>
          <w:p w14:paraId="0F3B431B" w14:textId="77777777" w:rsidR="009552F3" w:rsidRDefault="00CA06A7">
            <w:pPr>
              <w:spacing w:after="0" w:line="276" w:lineRule="auto"/>
            </w:pPr>
            <w:r>
              <w:rPr>
                <w:rFonts w:ascii="Times New Roman" w:eastAsia="Times New Roman" w:hAnsi="Times New Roman" w:cs="Times New Roman"/>
                <w:sz w:val="26"/>
              </w:rPr>
              <w:t>Luật số 32/2024/QH15</w:t>
            </w:r>
          </w:p>
        </w:tc>
        <w:tc>
          <w:tcPr>
            <w:tcW w:w="0" w:type="auto"/>
          </w:tcPr>
          <w:p w14:paraId="6F8A244B" w14:textId="77777777" w:rsidR="009552F3" w:rsidRDefault="009552F3"/>
          <w:p w14:paraId="219F4802" w14:textId="77777777" w:rsidR="009552F3" w:rsidRDefault="00CA06A7">
            <w:pPr>
              <w:spacing w:after="0" w:line="276" w:lineRule="auto"/>
            </w:pPr>
            <w:r>
              <w:rPr>
                <w:rFonts w:ascii="Times New Roman" w:eastAsia="Times New Roman" w:hAnsi="Times New Roman" w:cs="Times New Roman"/>
                <w:sz w:val="26"/>
              </w:rPr>
              <w:t>Luật Các tổ chức tín dụng</w:t>
            </w:r>
          </w:p>
        </w:tc>
        <w:tc>
          <w:tcPr>
            <w:tcW w:w="0" w:type="auto"/>
          </w:tcPr>
          <w:p w14:paraId="769A4AD1" w14:textId="77777777" w:rsidR="009552F3" w:rsidRDefault="009552F3"/>
          <w:p w14:paraId="183528D1" w14:textId="77777777" w:rsidR="009552F3" w:rsidRDefault="00CA06A7">
            <w:pPr>
              <w:spacing w:after="0" w:line="276" w:lineRule="auto"/>
            </w:pPr>
            <w:r>
              <w:rPr>
                <w:rFonts w:ascii="Times New Roman" w:eastAsia="Times New Roman" w:hAnsi="Times New Roman" w:cs="Times New Roman"/>
                <w:sz w:val="26"/>
              </w:rPr>
              <w:t>18-01-2024</w:t>
            </w:r>
          </w:p>
        </w:tc>
        <w:tc>
          <w:tcPr>
            <w:tcW w:w="0" w:type="auto"/>
          </w:tcPr>
          <w:p w14:paraId="4A6B9B30" w14:textId="77777777" w:rsidR="009552F3" w:rsidRDefault="009552F3"/>
          <w:p w14:paraId="1D2D624C" w14:textId="77777777" w:rsidR="009552F3" w:rsidRDefault="00CA06A7">
            <w:pPr>
              <w:spacing w:after="0" w:line="276" w:lineRule="auto"/>
            </w:pPr>
            <w:r>
              <w:rPr>
                <w:rFonts w:ascii="Times New Roman" w:eastAsia="Times New Roman" w:hAnsi="Times New Roman" w:cs="Times New Roman"/>
                <w:sz w:val="26"/>
              </w:rPr>
              <w:t>Quốc Hội</w:t>
            </w:r>
          </w:p>
        </w:tc>
      </w:tr>
      <w:tr w:rsidR="009552F3" w14:paraId="2F59706E" w14:textId="77777777">
        <w:tblPrEx>
          <w:tblCellMar>
            <w:top w:w="0" w:type="dxa"/>
            <w:bottom w:w="0" w:type="dxa"/>
          </w:tblCellMar>
        </w:tblPrEx>
        <w:tc>
          <w:tcPr>
            <w:tcW w:w="0" w:type="auto"/>
          </w:tcPr>
          <w:p w14:paraId="0F7E1BED" w14:textId="77777777" w:rsidR="009552F3" w:rsidRDefault="009552F3"/>
          <w:p w14:paraId="7401FCAE" w14:textId="77777777" w:rsidR="009552F3" w:rsidRDefault="00CA06A7">
            <w:pPr>
              <w:spacing w:after="0" w:line="276" w:lineRule="auto"/>
            </w:pPr>
            <w:r>
              <w:rPr>
                <w:rFonts w:ascii="Times New Roman" w:eastAsia="Times New Roman" w:hAnsi="Times New Roman" w:cs="Times New Roman"/>
                <w:sz w:val="26"/>
              </w:rPr>
              <w:t>Thông tư số 25/2024/TT-NHNN</w:t>
            </w:r>
          </w:p>
        </w:tc>
        <w:tc>
          <w:tcPr>
            <w:tcW w:w="0" w:type="auto"/>
          </w:tcPr>
          <w:p w14:paraId="0B479826" w14:textId="77777777" w:rsidR="009552F3" w:rsidRDefault="009552F3"/>
          <w:p w14:paraId="54A4A3E0" w14:textId="77777777" w:rsidR="009552F3" w:rsidRDefault="00CA06A7">
            <w:pPr>
              <w:spacing w:after="0" w:line="276" w:lineRule="auto"/>
            </w:pPr>
            <w:r>
              <w:rPr>
                <w:rFonts w:ascii="Times New Roman" w:eastAsia="Times New Roman" w:hAnsi="Times New Roman" w:cs="Times New Roman"/>
                <w:sz w:val="26"/>
              </w:rPr>
              <w:t>Thông tư quy định điều kiện, hồ sơ, trình tự và thủ tục chấp thuận việc góp vốn, mua cổ phần của tổ chức tín dụng.</w:t>
            </w:r>
          </w:p>
        </w:tc>
        <w:tc>
          <w:tcPr>
            <w:tcW w:w="0" w:type="auto"/>
          </w:tcPr>
          <w:p w14:paraId="4B2F9972" w14:textId="77777777" w:rsidR="009552F3" w:rsidRDefault="009552F3"/>
          <w:p w14:paraId="7C1E98C8" w14:textId="77777777" w:rsidR="009552F3" w:rsidRDefault="00CA06A7">
            <w:pPr>
              <w:spacing w:after="0" w:line="276" w:lineRule="auto"/>
            </w:pPr>
            <w:r>
              <w:rPr>
                <w:rFonts w:ascii="Times New Roman" w:eastAsia="Times New Roman" w:hAnsi="Times New Roman" w:cs="Times New Roman"/>
                <w:sz w:val="26"/>
              </w:rPr>
              <w:t>28-06-2024</w:t>
            </w:r>
          </w:p>
        </w:tc>
        <w:tc>
          <w:tcPr>
            <w:tcW w:w="0" w:type="auto"/>
          </w:tcPr>
          <w:p w14:paraId="3CD81FDA" w14:textId="77777777" w:rsidR="009552F3" w:rsidRDefault="009552F3"/>
          <w:p w14:paraId="4A4AB6F3" w14:textId="77777777" w:rsidR="009552F3" w:rsidRDefault="00CA06A7">
            <w:pPr>
              <w:spacing w:after="0" w:line="276" w:lineRule="auto"/>
            </w:pPr>
            <w:r>
              <w:rPr>
                <w:rFonts w:ascii="Times New Roman" w:eastAsia="Times New Roman" w:hAnsi="Times New Roman" w:cs="Times New Roman"/>
                <w:sz w:val="26"/>
              </w:rPr>
              <w:t>Ngân hàng Nhà nước Việt Nam</w:t>
            </w:r>
          </w:p>
        </w:tc>
      </w:tr>
    </w:tbl>
    <w:p w14:paraId="153AF1DF" w14:textId="77777777" w:rsidR="009552F3" w:rsidRDefault="00CA06A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Điều kiện thực hiện góp vốn, mua cổ phần để thành lập, mua lại công ty con quy định tại điểm a, c khoản 1 Điều 1 Thông tư số 25/2024/TT-NHNN ngày 28 tháng 6 năm 2024 (trừ công ty con là công ty hoạt động trong lĩnh vực quản lý nợ và khai thác tài sản): a) Giấy phép thành lập và hoạt động của tổ chức tín dụng có nội dung hoạt động góp vốn, mua cổ phần; b) Đảm bảo tỷ lệ an toàn vốn tối thiểu theo quy định tại điểm b khoản 1 Điều 138 Luật Các tổ chức tín dụng trong 24 tháng liền kề trước tháng đề nghị và tạ</w:t>
      </w:r>
      <w:r>
        <w:rPr>
          <w:rFonts w:ascii="Times New Roman" w:eastAsia="Times New Roman" w:hAnsi="Times New Roman" w:cs="Times New Roman"/>
          <w:sz w:val="26"/>
        </w:rPr>
        <w:t>i thời điểm hoàn tất việc góp vốn, mua cổ phần; c) Đảm bảo tuân thủ giới hạn góp vốn, mua cổ phần theo quy định tại Điều 137 Luật Các tổ chức tín dụng trong 24 tháng liền kề trước tháng đề nghị và tại thời điểm hoàn tất việc góp vốn, mua cổ phần; d) Giá trị thực của vốn điều lệ tại thời điểm đề nghị và tại thời điểm hoàn tất việc góp vốn, mua cổ phần không thấp hơn mức vốn pháp định; đ) Kết quả hoạt động kinh doanh có lãi theo báo cáo tài chính của năm liền kề trước năm đề nghị đã được kiểm toán bởi tổ chức</w:t>
      </w:r>
      <w:r>
        <w:rPr>
          <w:rFonts w:ascii="Times New Roman" w:eastAsia="Times New Roman" w:hAnsi="Times New Roman" w:cs="Times New Roman"/>
          <w:sz w:val="26"/>
        </w:rPr>
        <w:t xml:space="preserve"> kiểm toán độc lập; e) Không bị xử phạt vi phạm hành chính về phân loại nợ, trích lập và sử dụng dự phòng để xử lý rủi ro, góp vốn, mua cổ phần trong 12 tháng liền kề trước tháng đề nghị; g) Có tỷ lệ nợ xấu theo quy định của Thống đốc Ngân hàng Nhà nước về phân loại tài sản có trong hoạt động của tổ chức tín dụng, chi nhánh ngân hàng nước ngoài nhỏ hơn 3% trong 12 tháng liền kề trước tháng đề nghị; h) Đảm bảo có cơ cấu tổ chức quản lý; số lượng thành viên, cơ cấu, nhiệm kỳ Hội đồng quản trị, Hội đồng thành </w:t>
      </w:r>
      <w:r>
        <w:rPr>
          <w:rFonts w:ascii="Times New Roman" w:eastAsia="Times New Roman" w:hAnsi="Times New Roman" w:cs="Times New Roman"/>
          <w:sz w:val="26"/>
        </w:rPr>
        <w:t>viên, Ban kiểm soát, Tổng Giám đốc (Giám đốc) tuân thủ theo quy định của Luật Các tổ chức tín dụng tại thời điểm đề nghị. 2. Điều kiện thực hiện góp vốn, mua cổ phần để thành lập, mua lại công ty liên kết quy định tại điểm a, c khoản 1 Điều 1 Thông tư số 25/2024/TT-NHNN ngày 28 tháng 6 năm 2024 (trừ công ty liên kết là công ty hoạt động trong lĩnh vực quản lý nợ và khai thác tài sản): a) Giấy phép thành lập và hoạt động của tổ chức tín dụng có nội dung hoạt động góp vốn, mua cổ phần; b) Giá trị thực của vốn</w:t>
      </w:r>
      <w:r>
        <w:rPr>
          <w:rFonts w:ascii="Times New Roman" w:eastAsia="Times New Roman" w:hAnsi="Times New Roman" w:cs="Times New Roman"/>
          <w:sz w:val="26"/>
        </w:rPr>
        <w:t xml:space="preserve"> điều lệ tại thời điểm đề nghị và tại thời điểm hoàn tất việc góp vốn, mua cổ phần không thấp hơn mức vốn pháp định; c) Kết quả hoạt động kinh doanh có lãi theo báo cáo tài chính của năm liền kề trước năm đề nghị đã được kiểm toán bởi tổ chức kiểm toán độc lập; d) Không bị xử phạt vi phạm hành chính về phân loại nợ, trích lập và sử dụng dự phòng để xử lý rủi ro, góp vốn, mua cổ phần trong 12 tháng liền kề trước tháng đề nghị; đ) Có tỷ lệ nợ xấu theo quy định của Thống đốc Ngân hàng Nhà nước về phân loại tài</w:t>
      </w:r>
      <w:r>
        <w:rPr>
          <w:rFonts w:ascii="Times New Roman" w:eastAsia="Times New Roman" w:hAnsi="Times New Roman" w:cs="Times New Roman"/>
          <w:sz w:val="26"/>
        </w:rPr>
        <w:t xml:space="preserve"> sản có trong hoạt động của tổ chức tín dụng, chi nhánh ngân hàng nước ngoài nhỏ hơn 3% trong 12 tháng liền kề trước tháng đề nghị; e) Đảm bảo có cơ cấu tổ chức quản lý; số lượng thành viên, cơ cấu, nhiệm kỳ Hội đồng quản trị, Hội đồng thành viên, Ban kiểm soát, Tổng Giám đốc (Giám đốc) tuân thủ theo quy định của Luật Các tổ chức tín dụng tại thời điểm đề nghị; g) Đảm bảo tỷ lệ an toàn vốn tối thiểu theo quy định tại điểm b khoản 1 Điều 138 Luật Các tổ chức tín dụng trong 12 tháng liền kề trước tháng đề ngh</w:t>
      </w:r>
      <w:r>
        <w:rPr>
          <w:rFonts w:ascii="Times New Roman" w:eastAsia="Times New Roman" w:hAnsi="Times New Roman" w:cs="Times New Roman"/>
          <w:sz w:val="26"/>
        </w:rPr>
        <w:t xml:space="preserve">ị và tại thời điểm hoàn tất việc góp vốn, mua cổ phần; h) Đảm bảo tuân thủ giới hạn góp vốn, mua cổ phần theo quy định tại Điều 137 Luật Các tổ chức tín dụng trong 12 tháng liền kề trước tháng đề nghị và tại thời điểm hoàn tất việc góp vốn, mua cổ phần. 3. Điều kiện thực hiện góp vốn, mua cổ phần để thành lập, mua lại công ty con, công ty liên kết hoạt động trong lĩnh vực quản lý nợ và khai thác tài sản: a) Giấy phép thành lập và hoạt động của tổ chức tín dụng có nội dung hoạt động góp vốn, mua cổ phần; b) </w:t>
      </w:r>
      <w:r>
        <w:rPr>
          <w:rFonts w:ascii="Times New Roman" w:eastAsia="Times New Roman" w:hAnsi="Times New Roman" w:cs="Times New Roman"/>
          <w:sz w:val="26"/>
        </w:rPr>
        <w:t>Giá trị thực của vốn điều lệ tại thời điểm đề nghị và tại thời điểm hoàn tất việc góp vốn, mua cổ phần không thấp hơn mức vốn pháp định; c) Đảm bảo tuân thủ giới hạn góp vốn, mua cổ phần theo quy định tại Điều 137 Luật Các tổ chức tín dụng tại thời điểm đề nghị và tại thời điểm hoàn tất việc góp vốn, mua cổ phần; d) Đảm bảo tỷ lệ an toàn vốn tối thiểu theo quy định tại điểm b khoản 1 Điều 138 Luật Các tổ chức tín dụng tại thời điểm đề nghị và tại thời điểm hoàn tất việc góp vốn, mua cổ phần. 4. Điều kiện th</w:t>
      </w:r>
      <w:r>
        <w:rPr>
          <w:rFonts w:ascii="Times New Roman" w:eastAsia="Times New Roman" w:hAnsi="Times New Roman" w:cs="Times New Roman"/>
          <w:sz w:val="26"/>
        </w:rPr>
        <w:t>ực hiện góp vốn, mua cổ phần đối với doanh nghiệp khác hoạt động trong các lĩnh vực quy định tại điểm b khoản 1 Điều 1 Thông tư số 25/2024/TT-NHNN ngày 28 tháng 6 năm 2024: a) Giấy phép thành lập và hoạt động của tổ chức tín dụng có nội dung hoạt động góp vốn, mua cổ phần; b) Đảm bảo tỷ lệ an toàn vốn tối thiểu theo quy định tại điểm b khoản 1 Điều 138 Luật Các tổ chức tín dụng trong 24 tháng liền kề trước tháng đề nghị và tại thời điểm hoàn tất việc góp vốn, mua cổ phần; c) Đảm bảo tuân thủ giới hạn góp vố</w:t>
      </w:r>
      <w:r>
        <w:rPr>
          <w:rFonts w:ascii="Times New Roman" w:eastAsia="Times New Roman" w:hAnsi="Times New Roman" w:cs="Times New Roman"/>
          <w:sz w:val="26"/>
        </w:rPr>
        <w:t>n, mua cổ phần theo quy định tại Điều 137 Luật Các tổ chức tín dụng trong 24 tháng liền kề trước tháng đề nghị và tại thời điểm hoàn tất việc góp vốn, mua cổ phần; d) Giá trị thực của vốn điều lệ tại thời điểm đề nghị và tại thời điểm hoàn tất việc góp vốn, mua cổ phần không thấp hơn mức vốn pháp định; đ) Kết quả hoạt động kinh doanh có lãi theo báo cáo tài chính của năm liền kề trước năm đề nghị đã được kiểm toán bởi tổ chức kiểm toán độc lập; e) Không bị xử phạt vi phạm hành chính về phân loại nợ, trích l</w:t>
      </w:r>
      <w:r>
        <w:rPr>
          <w:rFonts w:ascii="Times New Roman" w:eastAsia="Times New Roman" w:hAnsi="Times New Roman" w:cs="Times New Roman"/>
          <w:sz w:val="26"/>
        </w:rPr>
        <w:t>ập và sử dụng dự phòng để xử lý rủi ro, góp vốn, mua cổ phần trong 12 tháng liền kề trước tháng đề nghị; g) Có tỷ lệ nợ xấu theo quy định của Thống đốc Ngân hàng Nhà nước về phân loại tài sản có trong hoạt động của tổ chức tín dụng, chi nhánh ngân hàng nước ngoài nhỏ hơn 3% trong 12 tháng liền kề trước tháng đề nghị; h) Đảm bảo có cơ cấu tổ chức quản lý; số lượng thành viên, cơ cấu, nhiệm kỳ Hội đồng quản trị, Hội đồng thành viên, Ban kiểm soát, Tổng Giám đốc (Giám đốc) tuân thủ theo quy định của Luật Các t</w:t>
      </w:r>
      <w:r>
        <w:rPr>
          <w:rFonts w:ascii="Times New Roman" w:eastAsia="Times New Roman" w:hAnsi="Times New Roman" w:cs="Times New Roman"/>
          <w:sz w:val="26"/>
        </w:rPr>
        <w:t xml:space="preserve">ổ chức tín dụng tại thời điểm đề nghị; i) Đảm bảo tỷ lệ tối đa của nguồn vốn ngắn hạn được sử dụng để cho vay trung hạn và dài hạn theo quy định của Thống đốc Ngân hàng Nhà nước về các giới hạn, tỷ lệ bảo đảm an toàn trong hoạt động của ngân hàng, chi nhánh ngân hàng nước ngoài trong 24 tháng liền kề trước tháng đề nghị và tại thời điểm hoàn tất việc góp vốn, mua cổ phần. 5. Điều kiện thực hiện chuyển nợ thành vốn góp, vốn cổ phần quy định tại điểm d khoản 1 Điều 1 Thông tư số 25/2024/TT-NHNN ngày 28 tháng </w:t>
      </w:r>
      <w:r>
        <w:rPr>
          <w:rFonts w:ascii="Times New Roman" w:eastAsia="Times New Roman" w:hAnsi="Times New Roman" w:cs="Times New Roman"/>
          <w:sz w:val="26"/>
        </w:rPr>
        <w:t>6 năm 2024: a) Giấy phép thành lập và hoạt động của tổ chức tín dụng có nội dung hoạt động góp vốn, mua cổ phần; b) Đảm bảo tỷ lệ an toàn vốn tối thiểu theo quy định tại điểm b khoản 1 Điều 138 Luật Các tổ chức tín dụng trong 24 tháng liền kề trước tháng đề nghị và tại thời điểm hoàn tất việc góp vốn, mua cổ phần; c) Đảm bảo tuân thủ giới hạn góp vốn, mua cổ phần theo quy định tại Điều 137 Luật Các tổ chức tín dụng trong 24 tháng liền kề trước tháng đề nghị và tại thời điểm hoàn tất việc góp vốn, mua cổ phầ</w:t>
      </w:r>
      <w:r>
        <w:rPr>
          <w:rFonts w:ascii="Times New Roman" w:eastAsia="Times New Roman" w:hAnsi="Times New Roman" w:cs="Times New Roman"/>
          <w:sz w:val="26"/>
        </w:rPr>
        <w:t>n; d) Giá trị thực của vốn điều lệ tại thời điểm đề nghị và tại thời điểm hoàn tất việc góp vốn, mua cổ phần không thấp hơn mức vốn pháp định; đ) Kết quả hoạt động kinh doanh có lãi theo báo cáo tài chính của năm liền kề trước năm đề nghị đã được kiểm toán bởi tổ chức kiểm toán độc lập; e) Không bị xử phạt vi phạm hành chính về phân loại nợ, trích lập và sử dụng dự phòng để xử lý rủi ro, góp vốn, mua cổ phần trong 12 tháng liền kề trước tháng đề nghị; g) Đảm bảo có cơ cấu tổ chức quản lý; số lượng thành viê</w:t>
      </w:r>
      <w:r>
        <w:rPr>
          <w:rFonts w:ascii="Times New Roman" w:eastAsia="Times New Roman" w:hAnsi="Times New Roman" w:cs="Times New Roman"/>
          <w:sz w:val="26"/>
        </w:rPr>
        <w:t>n, cơ cấu, nhiệm kỳ Hội đồng quản trị, Hội đồng thành viên, Ban kiểm soát, Tổng Giám đốc (Giám đốc) tuân thủ theo quy định của Luật Các tổ chức tín dụng tại thời điểm đề nghị; h) Khoản nợ được chuyển thành vốn góp, vốn cổ phần phải là khoản nợ xấu và việc chuyển nợ thành vốn góp, vốn cổ phần là để xử lý khoản nợ xấu. Nợ xấu là nợ được xác định theo quy định của Thống đốc Ngân hàng Nhà nước về phân loại tài sản có trong hoạt động của tổ chức tín dụng, chi nhánh ngân hàng nước ngoài.</w:t>
      </w:r>
    </w:p>
    <w:p w14:paraId="115DBD8C" w14:textId="77777777" w:rsidR="009552F3" w:rsidRDefault="00CA06A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43D6CEA" w14:textId="77777777" w:rsidR="009552F3" w:rsidRDefault="00CA06A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Nguyên tắc lập hồ sơ a) Hồ sơ phải được lập bằng tiếng Việt. Trường hợp văn bản do cơ quan, tổ chức có thẩm quyền của nước ngoài cấp, công chứng hoặc chứng nhận phải được hợp pháp hóa lãnh sự theo quy định của pháp luật Việt Nam (trừ trường hợp được miễn hợp pháp hóa lãnh sự theo quy định pháp luật về hợp pháp hóa lãnh sự) và dịch ra tiếng Việt. b) Các bản dịch từ tiếng nước ngoài ra tiếng Việt phải được công chứng bản dịch hoặc chứng thực chữ ký của người dịch theo quy định của pháp luật. c) Các hồ sơ được</w:t>
      </w:r>
      <w:r>
        <w:rPr>
          <w:rFonts w:ascii="Times New Roman" w:eastAsia="Times New Roman" w:hAnsi="Times New Roman" w:cs="Times New Roman"/>
          <w:sz w:val="26"/>
        </w:rPr>
        <w:t xml:space="preserve"> nộp phải là bản chính hoặc bản sao được cấp từ sổ gốc hoặc bản sao có chứng thực hoặc bản sao kèm xuất trình bản chính để đối chiếu; trong trường hợp tổ chức tín dụng nộp bản sao kèm xuất trình bản chính để đối chiếu, người đối chiếu phải ký và chịu trách nhiệm về tính chính xác của bản sao so với bản chính. d) Văn bản của tổ chức tín dụng đề nghị Ngân hàng Nhà nước chấp thuận phải do người đại diện theo pháp luật hoặc người đại diện theo ủy quyền (sau đây gọi là người đại diện hợp pháp) ký. Trường hợp ký </w:t>
      </w:r>
      <w:r>
        <w:rPr>
          <w:rFonts w:ascii="Times New Roman" w:eastAsia="Times New Roman" w:hAnsi="Times New Roman" w:cs="Times New Roman"/>
          <w:sz w:val="26"/>
        </w:rPr>
        <w:t>theo ủy quyền, hồ sơ phải có văn bản ủy quyền được lập phù hợp với quy định của pháp luật.</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https://thutuc.dichvucong.gov.vn/p/home/dvc-tthc-thu-tuc-hanh-chinh-chi-tiet.html?ma_thu_tuc=2533</w:t>
      </w:r>
    </w:p>
    <w:sectPr w:rsidR="009552F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52F3"/>
    <w:rsid w:val="009552F3"/>
    <w:rsid w:val="00CA06A7"/>
    <w:rsid w:val="00D34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802E"/>
  <w15:docId w15:val="{CE4C24C8-AEEA-47D4-BA4B-8B32F2DA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3241</Words>
  <Characters>18479</Characters>
  <Application>Microsoft Office Word</Application>
  <DocSecurity>0</DocSecurity>
  <Lines>153</Lines>
  <Paragraphs>43</Paragraphs>
  <ScaleCrop>false</ScaleCrop>
  <Company/>
  <LinksUpToDate>false</LinksUpToDate>
  <CharactersWithSpaces>21677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2025-11-27T16:42:00Z</dcterms:created>
  <dcterms:modified xsi:type="dcterms:W3CDTF">2025-11-27T16:42:00Z</dcterms:modified>
</cp:coreProperties>
</file>