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1061/QĐ-BNG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xin trở lại quốc tịch Việt Nam tại 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Quốc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xin trở lại quốc tịch Việt Nam nộp hồ sơ cho cơ quan đại diện Việt Nam ở nước ngoài. Trong trường hợp hồ sơ không có đầy đủ các giấy tờ quy định tại Điều 24 của Luật này hoặc không hợp lệ thì cơ quan đại diện thông báo ngay để người xin trở lại quốc tịch Việt Nam bổ sung, hoàn chỉnh hồ sơ.</w:t>
      </w:r>
    </w:p>
    <w:p>
      <w:pPr>
        <w:spacing w:after="0" w:before="0" w:lineRule="auto" w:line="276"/>
        <w:jc w:val="both"/>
      </w:pPr>
      <w:r>
        <w:rPr>
          <w:rFonts w:ascii="Times New Roman" w:hAnsi="Times New Roman" w:cs="Times New Roman" w:eastAsia="Times New Roman"/>
          <w:b w:val="false"/>
          <w:sz w:val="26"/>
        </w:rPr>
        <w:t>Trong thời hạn 20 ngày, kể từ ngày nhận đủ hồ sơ hợp lệ, cơ quan đại diện Việt Nam ở nước ngoài có trách nhiệm thẩm tra và chuyển hồ sơ kèm theo ý kiến đề xuất về việc xin trở lại quốc tịch Việt Nam về Bộ Ngoại giao để chuyển đến Bộ Tư pháp.</w:t>
      </w:r>
    </w:p>
    <w:p>
      <w:pPr>
        <w:spacing w:after="0" w:before="0" w:lineRule="auto" w:line="276"/>
        <w:jc w:val="both"/>
      </w:pPr>
      <w:r>
        <w:rPr>
          <w:rFonts w:ascii="Times New Roman" w:hAnsi="Times New Roman" w:cs="Times New Roman" w:eastAsia="Times New Roman"/>
          <w:b w:val="false"/>
          <w:sz w:val="26"/>
        </w:rPr>
        <w:t xml:space="preserve"> Trong trường hợp cần thiết, Bộ Tư pháp đề nghị Bộ Công an xác minh về nhân thân của người xin trở lại quốc tịch Việt Nam.</w:t>
      </w:r>
    </w:p>
    <w:p>
      <w:pPr>
        <w:spacing w:after="0" w:before="0" w:lineRule="auto" w:line="276"/>
        <w:jc w:val="both"/>
      </w:pPr>
      <w:r>
        <w:rPr>
          <w:rFonts w:ascii="Times New Roman" w:hAnsi="Times New Roman" w:cs="Times New Roman" w:eastAsia="Times New Roman"/>
          <w:b w:val="false"/>
          <w:sz w:val="26"/>
        </w:rPr>
        <w:t>Trong thời hạn 20 ngày, kể từ ngày nhận được văn bản đề xuất của cơ quan đại diện Việt Nam ở nước ngoài, Bộ Tư pháp có trách nhiệm kiểm tra lại hồ sơ, nếu xét thấy người xin trở lại quốc tịch Việt Nam có đủ điều kiện được trở lại quốc tịch Việt Nam thì gửi thông báo bằng văn bản cho người đó để làm thủ tục xin thôi quốc tịch nước ngoài, trừ trường hợp người xin trở lại quốc tịch Việt Nam xin giữ quốc tịch nước ngoài hoặc là người không quốc tịch.</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giấy xác nhận thôi quốc tịch nước ngoài của người xin trở lại quốc tịch Việt Nam, Bộ trưởng Bộ Tư pháp báo cáo Thủ tướng Chính phủ trình Chủ tịch nước xem xét, quyết định.</w:t>
      </w:r>
    </w:p>
    <w:p>
      <w:pPr>
        <w:spacing w:after="0" w:before="0" w:lineRule="auto" w:line="276"/>
        <w:jc w:val="both"/>
      </w:pPr>
      <w:r>
        <w:rPr>
          <w:rFonts w:ascii="Times New Roman" w:hAnsi="Times New Roman" w:cs="Times New Roman" w:eastAsia="Times New Roman"/>
          <w:b w:val="false"/>
          <w:sz w:val="26"/>
        </w:rPr>
        <w:t>Trường hợp người xin trở lại quốc tịch Việt Nam xin giữ quốc tịch nước ngoài, người xin trở lại quốc tịch Việt Nam là người không quốc tịch thì trong thời hạn 15 ngày, kể từ ngày nhận được văn bản đề xuất của cơ quan đại diện Việt Nam ở nước ngoài, Bộ Tư pháp có trách nhiệm kiểm tra lại hồ sơ, nếu xét thấy người xin trở lại quốc tịch Việt Nam có đủ điều kiện được trở lại quốc tịch Việt Nam thì báo cáo Thủ tướng Chính phủ trình Chủ tịch nước xem xét, quyết định.</w:t>
      </w:r>
    </w:p>
    <w:p>
      <w:pPr>
        <w:spacing w:after="0" w:before="0" w:lineRule="auto" w:line="276"/>
        <w:jc w:val="both"/>
      </w:pPr>
      <w:r>
        <w:rPr>
          <w:rFonts w:ascii="Times New Roman" w:hAnsi="Times New Roman" w:cs="Times New Roman" w:eastAsia="Times New Roman"/>
          <w:b w:val="false"/>
          <w:sz w:val="26"/>
        </w:rPr>
        <w:t xml:space="preserve">Trong thời hạn 20 ngày, kể từ ngày nhận được đề nghị của Thủ tướng Chính phủ, Chủ tịch nước xem xét, quyết định.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70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70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xin trở lại quốc tịch Việt Nam;</w:t>
            </w:r>
          </w:p>
        </w:tc>
        <w:tc>
          <w:p/>
          <w:p>
            <w:pPr>
              <w:spacing w:after="0" w:before="0" w:lineRule="auto" w:line="276"/>
              <w:jc w:val="left"/>
            </w:pPr>
            <w:r>
              <w:rPr>
                <w:rFonts w:ascii="Times New Roman" w:hAnsi="Times New Roman" w:cs="Times New Roman" w:eastAsia="Times New Roman"/>
                <w:b w:val="false"/>
                <w:sz w:val="26"/>
              </w:rPr>
              <w:t>mau-don-xin-tro-lai-quoc-tich-Viet-Nam_0207173851.doc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khai sinh, Hộ chiếu hoặc giấy tờ khác có giá trị thay thế;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khai lý lịch;</w:t>
            </w:r>
          </w:p>
        </w:tc>
        <w:tc>
          <w:p/>
          <w:p>
            <w:pPr>
              <w:spacing w:after="0" w:before="0" w:lineRule="auto" w:line="276"/>
              <w:jc w:val="left"/>
            </w:pPr>
            <w:r>
              <w:rPr>
                <w:rFonts w:ascii="Times New Roman" w:hAnsi="Times New Roman" w:cs="Times New Roman" w:eastAsia="Times New Roman"/>
                <w:b w:val="false"/>
                <w:sz w:val="26"/>
              </w:rPr>
              <w:t>7.Bnkhaillch.doc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Phiếu lý lịch tư pháp do cơ quan có thẩm quyền của Việt Nam cấp đối với thời gian người xin trở lại quốc tịch Việt Nam cư trú ở Việt Nam, Phiếu lý lịch tư pháp do cơ quan có thẩm quyền của nước ngoài cấp đối với thời gian người xin trở lại quốc tịch Việt Nam cư trú ở nước ngoài. Phiếu lý lịch tư pháp phải là phiếu được cấp không quá 90 ngày tính đến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người xin trở lại quốc tịch Việt Nam đã từng có quốc tịch Việt Nam là một trong các giấy tờ sau đây: bản sao Giấy khai sinh; bản sao Quyết định cho thôi quốc tịch Việt Nam hoặc Giấy xác nhận mất quốc tịch Việt Nam; giấy tờ khác có ghi quốc tịch Việt Nam hoặc có giá trị chứng minh quốc tịch Việt Nam trước đây của người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đủ điều kiện trở lại quốc tịch Việt Nam là bản sao Giấy chứng nhận kết hôn; bản sao Giấy khai sinh hoặc giấy tờ hợp lệ khác chứng minh quan hệ cha con, mẹ con; bản sao Huân chương, Huy chương, giấy chứng nhận danh hiệu cao quý khác hoặc giấy xác nhận của cơ quan, tổ chức có thẩm quyền của Việt Nam; giấy chứng nhận của cơ quan, tổ chức nơi người đó làm việc, được cơ quan quản lý nhà nước cấp bộ hoặc Ủy ban nhân dân cấp tỉnh xác nhận về việc nhập quốc tịch Việt Nam của họ sẽ đóng góp cho sự phát triển của Việt Nam; hoặc giấy tờ chứng minh người xin trở lại quốc tịch Việt Nam đang làm thủ tục xin hồi hương về Việt Nam hoặc bản sao giấy tờ chứng nhận việc đầu tư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nước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nước về việc cho trở lại quốc tịch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24/2008/QH12</w:t>
            </w:r>
          </w:p>
        </w:tc>
        <w:tc>
          <w:p/>
          <w:p>
            <w:pPr>
              <w:spacing w:after="0" w:before="0" w:lineRule="auto" w:line="276"/>
              <w:jc w:val="left"/>
            </w:pPr>
            <w:r>
              <w:rPr>
                <w:rFonts w:ascii="Times New Roman" w:hAnsi="Times New Roman" w:cs="Times New Roman" w:eastAsia="Times New Roman"/>
                <w:b w:val="false"/>
                <w:sz w:val="26"/>
              </w:rPr>
              <w:t>	 Luật 24/2008/QH12</w:t>
            </w:r>
          </w:p>
        </w:tc>
        <w:tc>
          <w:p/>
          <w:p>
            <w:pPr>
              <w:spacing w:after="0" w:before="0" w:lineRule="auto" w:line="276"/>
              <w:jc w:val="left"/>
            </w:pPr>
            <w:r>
              <w:rPr>
                <w:rFonts w:ascii="Times New Roman" w:hAnsi="Times New Roman" w:cs="Times New Roman" w:eastAsia="Times New Roman"/>
                <w:b w:val="false"/>
                <w:sz w:val="26"/>
              </w:rPr>
              <w:t>13-11-2008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78/2009/NĐ-CP</w:t>
            </w:r>
          </w:p>
        </w:tc>
        <w:tc>
          <w:p/>
          <w:p>
            <w:pPr>
              <w:spacing w:after="0" w:before="0" w:lineRule="auto" w:line="276"/>
              <w:jc w:val="left"/>
            </w:pPr>
            <w:r>
              <w:rPr>
                <w:rFonts w:ascii="Times New Roman" w:hAnsi="Times New Roman" w:cs="Times New Roman" w:eastAsia="Times New Roman"/>
                <w:b w:val="false"/>
                <w:sz w:val="26"/>
              </w:rPr>
              <w:t>Nghị định 78/2009/NĐ-CP - Quy định chi tiết và hướng dẫn thi hành một số điều của Luật Quốc tịch Việt Nam</w:t>
            </w:r>
          </w:p>
        </w:tc>
        <w:tc>
          <w:p/>
          <w:p>
            <w:pPr>
              <w:spacing w:after="0" w:before="0" w:lineRule="auto" w:line="276"/>
              <w:jc w:val="left"/>
            </w:pPr>
            <w:r>
              <w:rPr>
                <w:rFonts w:ascii="Times New Roman" w:hAnsi="Times New Roman" w:cs="Times New Roman" w:eastAsia="Times New Roman"/>
                <w:b w:val="false"/>
                <w:sz w:val="26"/>
              </w:rPr>
              <w:t>22-09-2009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05/2010/TTLT/BTP-BNG-BCA	</w:t>
            </w:r>
          </w:p>
        </w:tc>
        <w:tc>
          <w:p/>
          <w:p>
            <w:pPr>
              <w:spacing w:after="0" w:before="0" w:lineRule="auto" w:line="276"/>
              <w:jc w:val="left"/>
            </w:pPr>
            <w:r>
              <w:rPr>
                <w:rFonts w:ascii="Times New Roman" w:hAnsi="Times New Roman" w:cs="Times New Roman" w:eastAsia="Times New Roman"/>
                <w:b w:val="false"/>
                <w:sz w:val="26"/>
              </w:rPr>
              <w:t>Thông tư liên tịch 05/2010/TTLT/BTP-BNG-BCA</w:t>
            </w:r>
          </w:p>
        </w:tc>
        <w:tc>
          <w:p/>
          <w:p>
            <w:pPr>
              <w:spacing w:after="0" w:before="0" w:lineRule="auto" w:line="276"/>
              <w:jc w:val="left"/>
            </w:pPr>
            <w:r>
              <w:rPr>
                <w:rFonts w:ascii="Times New Roman" w:hAnsi="Times New Roman" w:cs="Times New Roman" w:eastAsia="Times New Roman"/>
                <w:b w:val="false"/>
                <w:sz w:val="26"/>
              </w:rPr>
              <w:t>01-03-2010</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56/2014/QH13</w:t>
            </w:r>
          </w:p>
        </w:tc>
        <w:tc>
          <w:p/>
          <w:p>
            <w:pPr>
              <w:spacing w:after="0" w:before="0" w:lineRule="auto" w:line="276"/>
              <w:jc w:val="left"/>
            </w:pPr>
            <w:r>
              <w:rPr>
                <w:rFonts w:ascii="Times New Roman" w:hAnsi="Times New Roman" w:cs="Times New Roman" w:eastAsia="Times New Roman"/>
                <w:b w:val="false"/>
                <w:sz w:val="26"/>
              </w:rPr>
              <w:t>Luật 56/2014/QH13</w:t>
            </w:r>
          </w:p>
        </w:tc>
        <w:tc>
          <w:p/>
          <w:p>
            <w:pPr>
              <w:spacing w:after="0" w:before="0" w:lineRule="auto" w:line="276"/>
              <w:jc w:val="left"/>
            </w:pPr>
            <w:r>
              <w:rPr>
                <w:rFonts w:ascii="Times New Roman" w:hAnsi="Times New Roman" w:cs="Times New Roman" w:eastAsia="Times New Roman"/>
                <w:b w:val="false"/>
                <w:sz w:val="26"/>
              </w:rPr>
              <w:t>24-06-2014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7/2014/NĐ-CP</w:t>
            </w:r>
          </w:p>
        </w:tc>
        <w:tc>
          <w:p/>
          <w:p>
            <w:pPr>
              <w:spacing w:after="0" w:before="0" w:lineRule="auto" w:line="276"/>
              <w:jc w:val="left"/>
            </w:pPr>
            <w:r>
              <w:rPr>
                <w:rFonts w:ascii="Times New Roman" w:hAnsi="Times New Roman" w:cs="Times New Roman" w:eastAsia="Times New Roman"/>
                <w:b w:val="false"/>
                <w:sz w:val="26"/>
              </w:rPr>
              <w:t>Nghị định 97/2014/NĐ-CP</w:t>
            </w:r>
          </w:p>
        </w:tc>
        <w:tc>
          <w:p/>
          <w:p>
            <w:pPr>
              <w:spacing w:after="0" w:before="0" w:lineRule="auto" w:line="276"/>
              <w:jc w:val="left"/>
            </w:pPr>
            <w:r>
              <w:rPr>
                <w:rFonts w:ascii="Times New Roman" w:hAnsi="Times New Roman" w:cs="Times New Roman" w:eastAsia="Times New Roman"/>
                <w:b w:val="false"/>
                <w:sz w:val="26"/>
              </w:rPr>
              <w:t>17-10-2014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08/2010/TT-BTP</w:t>
            </w:r>
          </w:p>
        </w:tc>
        <w:tc>
          <w:p/>
          <w:p>
            <w:pPr>
              <w:spacing w:after="0" w:before="0" w:lineRule="auto" w:line="276"/>
              <w:jc w:val="left"/>
            </w:pPr>
            <w:r>
              <w:rPr>
                <w:rFonts w:ascii="Times New Roman" w:hAnsi="Times New Roman" w:cs="Times New Roman" w:eastAsia="Times New Roman"/>
                <w:b w:val="false"/>
                <w:sz w:val="26"/>
              </w:rPr>
              <w:t>Thông tư 08/2010/TT-BTP</w:t>
            </w:r>
          </w:p>
        </w:tc>
        <w:tc>
          <w:p/>
          <w:p>
            <w:pPr>
              <w:spacing w:after="0" w:before="0" w:lineRule="auto" w:line="276"/>
              <w:jc w:val="left"/>
            </w:pPr>
            <w:r>
              <w:rPr>
                <w:rFonts w:ascii="Times New Roman" w:hAnsi="Times New Roman" w:cs="Times New Roman" w:eastAsia="Times New Roman"/>
                <w:b w:val="false"/>
                <w:sz w:val="26"/>
              </w:rPr>
              <w:t>25-03-2010</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xin trở lại quốc tịch Việt Nam nộp hồ sơ cho cơ quan đại diện Việt Nam ở nước ngoài. Trong trường hợp hồ sơ không có đầy đủ các giấy tờ quy định tại Điều 24 của Luật này hoặc không hợp lệ thì cơ quan đại diện thông báo ngay để người xin trở lại quốc tịch Việt Nam bổ sung, hoàn chỉnh hồ sơ.</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2025-11-27T16:42:23Z</dcterms:created>
  <dc:creator>Apache POI</dc:creator>
</cp:coreProperties>
</file>