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2.000795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902/QĐ-BXD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vận tải hành khách cố định trên tuyến vận tải thủy từ bờ ra đảo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hải và đường thủy nội địa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Nộp hồ sơ TTHC</w:t>
      </w:r>
    </w:p>
    <w:p>
      <w:pPr>
        <w:spacing w:after="0" w:before="0" w:lineRule="auto" w:line="276"/>
        <w:jc w:val="both"/>
      </w:pPr>
      <w:r>
        <w:rPr>
          <w:rFonts w:ascii="Times New Roman" w:hAnsi="Times New Roman" w:cs="Times New Roman" w:eastAsia="Times New Roman"/>
          <w:b w:val="false"/>
          <w:sz w:val="26"/>
        </w:rPr>
        <w:t>Tổ chức, cá nhân gửi hồ sơ đăng ký vận tải hành khách cố định trực tiếp hoặc qua hệ thống bưu chính hoặc qua hệ thống dịch vụ công trực tuyến hoặc hình thức phù hợp khác đến Sở Xây dựng.</w:t>
      </w:r>
    </w:p>
    <w:p>
      <w:pPr>
        <w:shd w:val="clear" w:color="auto" w:fill="F2F6F9"/>
        <w:spacing w:after="0" w:before="120" w:lineRule="auto" w:line="276"/>
        <w:jc w:val="both"/>
      </w:pPr>
      <w:r>
        <w:rPr>
          <w:rFonts w:ascii="Times New Roman" w:hAnsi="Times New Roman" w:cs="Times New Roman" w:eastAsia="Times New Roman"/>
          <w:b w:val="true"/>
          <w:sz w:val="26"/>
        </w:rPr>
        <w:t>b) Giải quyết TTHC</w:t>
      </w:r>
    </w:p>
    <w:p>
      <w:pPr>
        <w:spacing w:after="0" w:before="0" w:lineRule="auto" w:line="276"/>
        <w:jc w:val="both"/>
      </w:pPr>
      <w:r>
        <w:rPr>
          <w:rFonts w:ascii="Times New Roman" w:hAnsi="Times New Roman" w:cs="Times New Roman" w:eastAsia="Times New Roman"/>
          <w:b w:val="false"/>
          <w:sz w:val="26"/>
        </w:rPr>
        <w:t>- Trường hợp hồ sơ nộp trực tiếp: nếu hồ sơ không hợp lệ theo quy định thì trả lại ngay và hướng dẫn tổ chức, cá nhân hoàn thiện hồ sơ; nếu hồ sơ hợp lệ theo quy định, chậm nhất không quá 03 ngày làm việc, kể từ khi nhận đủ hồ sơ, Sở Xây dựng gửi xin ý kiến bằng văn bản của Cảng vụ hàng hải, Cảng vụ đường thủy nội địa trực thuộc Cục Hàng hải và Đường thủy Việt Nam (sau đây gọi là Cảng vụ) nơi có tuyến vận tải thủy từ bờ ra đảo đi qua. Cảng vụ có trách nhiệm trả lời bằng văn bản trong thời hạn 03 ngày làm việc, kể từ ngày nhận được văn bản;
- Trường hợp hồ sơ nhận qua hệ thống bưu chính hoặc qua hệ thống dịch vụ công trực tuyến hoặc hình thức phù hợp khác: nếu hồ sơ không hợp lệ theo quy định, trong thời hạn 02 ngày làm việc, kể từ ngày nhận được hồ sơ, Sở Xây dựng phải có văn bản gửi tổ chức, cá nhân yêu cầu bổ sung, hoàn thiện hồ sơ. Trong thời hạn 30 ngày kể từ ngày ra văn bản thông báo, nếu tổ chức, cá nhân không hoàn thiện, bổ sung hồ sơ thì Sở Xây dựng kết thúc việc giải quyết hồ sơ. Tổ chức, cá nhân muốn tiếp tục làm thủ tục đăng ký vận tải hành khách cố định phải thực hiện lại từ đầu theo quy định.
Nếu hồ sơ hợp lệ theo quy định, chậm nhất không quá 03 ngày làm việc, kể từ khi nhận đủ hồ sơ, Sở Xây dựng gửi xin ý kiến bằng văn bản của Cảng vụ nơi có tuyến vận tải thủy từ bờ ra đảo đi qua. Cảng vụ có trách nhiệm trả lời bằng văn bản trong thời hạn 03 ngày làm việc, kể từ ngày nhận được văn bản;
- Chậm nhất không quá 03 ngày làm việc, kể từ khi nhận được văn bản trả lời của cơ quan, đơn vị, Sở Xây dựng xem xét, có văn bản chấp và gửi trực tiếp hoặc qua hệ thống bưu chính hoặc gửi trực tuyến qua hệ thống dịch vụ công trực tuyến cho tổ chức, cá nhân vận tải khách cố định trên tuyến. Trường hợp không chấp thuận,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9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Chậm nhất không quá 03 ngày làm việc, kể từ khi nhận đủ hồ sơ, Sở Xây dựng gửi xin ý kiến bằng văn bản của Cảng vụ hàng hải khu vực, Cảng vụ đường thủy nội địa trực thuộc Cục Hàng hải và Đường thủy Việt Nam (sau đây gọi là Cảng vụ) nơi có tuyến vận tải thủy từ bờ ra đảo đi qua. Cảng vụ có trách nhiệm trả lời bằng văn bản trong thời hạn 03 ngày làm việc, kể từ ngày nhận được văn bản;
- Cảng vụ có trách nhiệm trả lời bằng văn bản trong thời hạn 03 ngày làm việc, kể từ ngày nhận được văn bản;
- Chậm nhất không quá 03 ngày làm việc, kể từ khi nhận được văn bản trả lời của cơ quan, đơn vị quy định tại khoản 2 Điều này, Sở Xây dựng xem xét, có văn bản chấp thuận và gửi trực tiếp hoặc qua hệ thống bưu chính hoặc gửi trực tuyến qua hệ thống dịch vụ công trực tuyến cho tổ chức, cá nhân vận tải khách cố định trên tuyến. Trường hợp không chấp thuận, có văn bản trả lời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9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Chậm nhất không quá 03 ngày làm việc, kể từ khi nhận đủ hồ sơ, Sở Xây dựng gửi xin ý kiến bằng văn bản của Cảng vụ hàng hải khu vực, Cảng vụ đường thủy nội địa trực thuộc Cục Hàng hải và Đường thủy Việt Nam (sau đây gọi là Cảng vụ) nơi có tuyến vận tải thủy từ bờ ra đảo đi qua. Cảng vụ có trách nhiệm trả lời bằng văn bản trong thời hạn 03 ngày làm việc, kể từ ngày nhận được văn bản;
- Cảng vụ có trách nhiệm trả lời bằng văn bản trong thời hạn 03 ngày làm việc, kể từ ngày nhận được văn bản;
- Chậm nhất không quá 03 ngày làm việc, kể từ khi nhận được văn bản trả lời của cơ quan, đơn vị quy định tại khoản 2 Điều này, Sở Xây dựng xem xét, có văn bản chấp thuận và gửi trực tiếp hoặc qua hệ thống bưu chính hoặc gửi trực tuyến qua hệ thống dịch vụ công trực tuyến cho tổ chức, cá nhân vận tải khách cố định trên tuyến. Trường hợp không chấp thuận, có văn bản trả lời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9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Chậm nhất không quá 03 ngày làm việc, kể từ khi nhận đủ hồ sơ, Sở Xây dựng gửi xin ý kiến bằng văn bản của Cảng vụ hàng hải khu vực, Cảng vụ đường thủy nội địa trực thuộc Cục Hàng hải và Đường thủy Việt Nam (sau đây gọi là Cảng vụ) nơi có tuyến vận tải thủy từ bờ ra đảo đi qua. Cảng vụ có trách nhiệm trả lời bằng văn bản trong thời hạn 03 ngày làm việc, kể từ ngày nhận được văn bản;
- Cảng vụ có trách nhiệm trả lời bằng văn bản trong thời hạn 03 ngày làm việc, kể từ ngày nhận được văn bản;
- Chậm nhất không quá 03 ngày làm việc, kể từ khi nhận được văn bản trả lời của cơ quan, đơn vị quy định tại khoản 2 Điều này, Sở Xây dựng xem xét, có văn bản chấp thuận và gửi trực tiếp hoặc qua hệ thống bưu chính hoặc gửi trực tuyến qua hệ thống dịch vụ công trực tuyến cho tổ chức, cá nhân vận tải khách cố định trên tuyến. Trường hợp không chấp thuận, có văn bản trả lời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đăng ký hoạt động vận tải hành khách theo mẫu;</w:t>
            </w:r>
          </w:p>
        </w:tc>
        <w:tc>
          <w:p/>
          <w:p>
            <w:pPr>
              <w:spacing w:after="0" w:before="0" w:lineRule="auto" w:line="276"/>
              <w:jc w:val="left"/>
            </w:pPr>
            <w:r>
              <w:rPr>
                <w:rFonts w:ascii="Times New Roman" w:hAnsi="Times New Roman" w:cs="Times New Roman" w:eastAsia="Times New Roman"/>
                <w:b w:val="false"/>
                <w:sz w:val="26"/>
              </w:rPr>
              <w:t>Maubanangky.docx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chính hoặc bản điện tử hoặc bản sao điện tử hoặc bản sao điện tử có chứng thực ý kiến thống nhất bằng văn bản hoặc hợp đồng với tổ chức quản lý cảng, bến cho phương tiện vào đón, trả hành khách;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Xuất trình bản chính để kiểm tra (trong trường hợp gửi trực tiếp)hoặc bản điện tử hoặc bản sao điện tử hoặc bản sao điện tử có chứng thực (trong trường hợp gửi qua đường bưu chính, qua hệ thống dịch vụ công trực tuyến hoặc theo hình thức phù hợp khác), bao gồm: Giấy chứng nhận đăng ký phương tiện; Giấy chứng nhận an toàn kỹ thuật và bảo vệ môi trường phương tiện còn hiệu lực và phù hợp với tuyến hoạt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Xây dựng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Sở Xây dựng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Cảng vụ hàng hải khu vực, Cảng vụ Đường thủy nội địa</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 Văn bản chấp thuận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40/2005/QH11</w:t>
            </w:r>
          </w:p>
        </w:tc>
        <w:tc>
          <w:p/>
          <w:p>
            <w:pPr>
              <w:spacing w:after="0" w:before="0" w:lineRule="auto" w:line="276"/>
              <w:jc w:val="left"/>
            </w:pPr>
            <w:r>
              <w:rPr>
                <w:rFonts w:ascii="Times New Roman" w:hAnsi="Times New Roman" w:cs="Times New Roman" w:eastAsia="Times New Roman"/>
                <w:b w:val="false"/>
                <w:sz w:val="26"/>
              </w:rPr>
              <w:t>Hàng hải Việt Nam</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16/2013/TT-BGTVT</w:t>
            </w:r>
          </w:p>
        </w:tc>
        <w:tc>
          <w:p/>
          <w:p>
            <w:pPr>
              <w:spacing w:after="0" w:before="0" w:lineRule="auto" w:line="276"/>
              <w:jc w:val="left"/>
            </w:pPr>
            <w:r>
              <w:rPr>
                <w:rFonts w:ascii="Times New Roman" w:hAnsi="Times New Roman" w:cs="Times New Roman" w:eastAsia="Times New Roman"/>
                <w:b w:val="false"/>
                <w:sz w:val="26"/>
              </w:rPr>
              <w:t>uy định về quản lý tuyến vận tải thủy từ bờ ra đảo trong vùng biển Việt Nam</w:t>
            </w:r>
          </w:p>
        </w:tc>
        <w:tc>
          <w:p/>
          <w:p>
            <w:pPr>
              <w:spacing w:after="0" w:before="0" w:lineRule="auto" w:line="276"/>
              <w:jc w:val="left"/>
            </w:pPr>
            <w:r>
              <w:rPr>
                <w:rFonts w:ascii="Times New Roman" w:hAnsi="Times New Roman" w:cs="Times New Roman" w:eastAsia="Times New Roman"/>
                <w:b w:val="false"/>
                <w:sz w:val="26"/>
              </w:rPr>
              <w:t>30-07-2013</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08/2022/TT-BGTVT</w:t>
            </w:r>
          </w:p>
        </w:tc>
        <w:tc>
          <w:p/>
          <w:p>
            <w:pPr>
              <w:spacing w:after="0" w:before="0" w:lineRule="auto" w:line="276"/>
              <w:jc w:val="left"/>
            </w:pPr>
            <w:r>
              <w:rPr>
                <w:rFonts w:ascii="Times New Roman" w:hAnsi="Times New Roman" w:cs="Times New Roman" w:eastAsia="Times New Roman"/>
                <w:b w:val="false"/>
                <w:sz w:val="26"/>
              </w:rPr>
              <w:t>Thông tư 08/2022/TT-BGTVT</w:t>
            </w:r>
          </w:p>
        </w:tc>
        <w:tc>
          <w:p/>
          <w:p>
            <w:pPr>
              <w:spacing w:after="0" w:before="0" w:lineRule="auto" w:line="276"/>
              <w:jc w:val="left"/>
            </w:pPr>
            <w:r>
              <w:rPr>
                <w:rFonts w:ascii="Times New Roman" w:hAnsi="Times New Roman" w:cs="Times New Roman" w:eastAsia="Times New Roman"/>
                <w:b w:val="false"/>
                <w:sz w:val="26"/>
              </w:rPr>
              <w:t>16-06-2022</w:t>
            </w:r>
          </w:p>
        </w:tc>
        <w:tc>
          <w:p/>
        </w:tc>
      </w:tr>
      <w:tr>
        <w:tc>
          <w:p/>
          <w:p>
            <w:pPr>
              <w:spacing w:after="0" w:before="0" w:lineRule="auto" w:line="276"/>
              <w:jc w:val="left"/>
            </w:pPr>
            <w:r>
              <w:rPr>
                <w:rFonts w:ascii="Times New Roman" w:hAnsi="Times New Roman" w:cs="Times New Roman" w:eastAsia="Times New Roman"/>
                <w:b w:val="false"/>
                <w:sz w:val="26"/>
              </w:rPr>
              <w:t>24/2022/TT-BGTVT</w:t>
            </w:r>
          </w:p>
        </w:tc>
        <w:tc>
          <w:p/>
          <w:p>
            <w:pPr>
              <w:spacing w:after="0" w:before="0" w:lineRule="auto" w:line="276"/>
              <w:jc w:val="left"/>
            </w:pPr>
            <w:r>
              <w:rPr>
                <w:rFonts w:ascii="Times New Roman" w:hAnsi="Times New Roman" w:cs="Times New Roman" w:eastAsia="Times New Roman"/>
                <w:b w:val="false"/>
                <w:sz w:val="26"/>
              </w:rPr>
              <w:t>Thông tư 24/2022/TT-BGTVT</w:t>
            </w:r>
          </w:p>
        </w:tc>
        <w:tc>
          <w:p/>
          <w:p>
            <w:pPr>
              <w:spacing w:after="0" w:before="0" w:lineRule="auto" w:line="276"/>
              <w:jc w:val="left"/>
            </w:pPr>
            <w:r>
              <w:rPr>
                <w:rFonts w:ascii="Times New Roman" w:hAnsi="Times New Roman" w:cs="Times New Roman" w:eastAsia="Times New Roman"/>
                <w:b w:val="false"/>
                <w:sz w:val="26"/>
              </w:rPr>
              <w:t>13-10-2022</w:t>
            </w:r>
          </w:p>
        </w:tc>
        <w:tc>
          <w:p/>
        </w:tc>
      </w:tr>
      <w:tr>
        <w:tc>
          <w:p/>
          <w:p>
            <w:pPr>
              <w:spacing w:after="0" w:before="0" w:lineRule="auto" w:line="276"/>
              <w:jc w:val="left"/>
            </w:pPr>
            <w:r>
              <w:rPr>
                <w:rFonts w:ascii="Times New Roman" w:hAnsi="Times New Roman" w:cs="Times New Roman" w:eastAsia="Times New Roman"/>
                <w:b w:val="false"/>
                <w:sz w:val="26"/>
              </w:rPr>
              <w:t>10/2024/TT-BGTVT</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Thông tư quy định về quản lý tuyến vận tải thủy từ bờ ra đảo trong vùng biển Việt Nam.</w:t>
            </w:r>
          </w:p>
        </w:tc>
        <w:tc>
          <w:p/>
          <w:p>
            <w:pPr>
              <w:spacing w:after="0" w:before="0" w:lineRule="auto" w:line="276"/>
              <w:jc w:val="left"/>
            </w:pPr>
            <w:r>
              <w:rPr>
                <w:rFonts w:ascii="Times New Roman" w:hAnsi="Times New Roman" w:cs="Times New Roman" w:eastAsia="Times New Roman"/>
                <w:b w:val="false"/>
                <w:sz w:val="26"/>
              </w:rPr>
              <w:t>10-04-2024</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05/2017/TT-BGTVT</w:t>
            </w:r>
          </w:p>
        </w:tc>
        <w:tc>
          <w:p/>
          <w:p>
            <w:pPr>
              <w:spacing w:after="0" w:before="0" w:lineRule="auto" w:line="276"/>
              <w:jc w:val="left"/>
            </w:pPr>
            <w:r>
              <w:rPr>
                <w:rFonts w:ascii="Times New Roman" w:hAnsi="Times New Roman" w:cs="Times New Roman" w:eastAsia="Times New Roman"/>
                <w:b w:val="false"/>
                <w:sz w:val="26"/>
              </w:rPr>
              <w:t>sửa đổi Thông tư 16/2013/TT-BGTVT quy định về quản lý tuyến vận tải thủy từ bờ ra đảo trong vùng biển Việt Nam</w:t>
            </w:r>
          </w:p>
        </w:tc>
        <w:tc>
          <w:p/>
          <w:p>
            <w:pPr>
              <w:spacing w:after="0" w:before="0" w:lineRule="auto" w:line="276"/>
              <w:jc w:val="left"/>
            </w:pPr>
            <w:r>
              <w:rPr>
                <w:rFonts w:ascii="Times New Roman" w:hAnsi="Times New Roman" w:cs="Times New Roman" w:eastAsia="Times New Roman"/>
                <w:b w:val="false"/>
                <w:sz w:val="26"/>
              </w:rPr>
              <w:t>21-02-2017</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09/2025/TT-BXD</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các Thông tư thuộc lĩnh vực quản lý nhà nước của Bộ Xây dựng liên quan đến sắp xếp tổ chức bộ máy, thực hiện chính quyền địa phương hai cấp và phân cấp cho chính quyền địa phương.</w:t>
            </w:r>
          </w:p>
        </w:tc>
        <w:tc>
          <w:p/>
          <w:p>
            <w:pPr>
              <w:spacing w:after="0" w:before="0" w:lineRule="auto" w:line="276"/>
              <w:jc w:val="left"/>
            </w:pPr>
            <w:r>
              <w:rPr>
                <w:rFonts w:ascii="Times New Roman" w:hAnsi="Times New Roman" w:cs="Times New Roman" w:eastAsia="Times New Roman"/>
                <w:b w:val="false"/>
                <w:sz w:val="26"/>
              </w:rPr>
              <w:t>13-06-2025</w:t>
            </w:r>
          </w:p>
        </w:tc>
        <w:tc>
          <w:p/>
          <w:p>
            <w:pPr>
              <w:spacing w:after="0" w:before="0" w:lineRule="auto" w:line="276"/>
              <w:jc w:val="left"/>
            </w:pPr>
            <w:r>
              <w:rPr>
                <w:rFonts w:ascii="Times New Roman" w:hAnsi="Times New Roman" w:cs="Times New Roman" w:eastAsia="Times New Roman"/>
                <w:b w:val="false"/>
                <w:sz w:val="26"/>
              </w:rPr>
              <w:t>Bộ Xây dựng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https://thutuc.dichvucong.gov.vn/p/home/dvc-tthc-thu-tuc-hanh-chinh-chi-tiet.html?ma_thu_tuc=2568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2025-11-27T16:42:37Z</dcterms:created>
  <dc:creator>Apache POI</dc:creator>
</cp:coreProperties>
</file>