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kết hôn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kết hôn nộp hồ sơ đăng ký kết hôn tại Trung tâm phục vụ hành chính công có thẩm quyền nộp lệ phí nếu thuộc trường hợp phải nộp lệ phí đăng ký kết hôn; nộp phí cấp bản sao Trích lục kết hôn nếu có yêu cầu cấp bản sao Trích lục kết hôn.</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yêu cầu đăng ký kết hôn truy cập Cổng dịch vụ công quốc gia, xác thực người dùng theo hướng dẫn, đăng nhập vào hệ thống, lựa chọn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kết hôn trực tuyến cung cấp thông tin theo biểu mẫu điện tử tương tác đăng ký kết hôn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kết hôn không bổ sung, hoàn thiện được hồ sơ thì cán bộ tiếp nhận hồ sơ báo cáo Lãnh đạo Trung tâm Phục vụ hành chính công có thông báo từ chối giải quyết yêu cầu đăng ký kết hôn.</w:t>
      </w:r>
    </w:p>
    <w:p>
      <w:pPr>
        <w:spacing w:after="0" w:before="0" w:lineRule="auto" w:line="276"/>
        <w:jc w:val="both"/>
      </w:pPr>
      <w:r>
        <w:rPr>
          <w:rFonts w:ascii="Times New Roman" w:hAnsi="Times New Roman" w:cs="Times New Roman" w:eastAsia="Times New Roman"/>
          <w:b w:val="false"/>
          <w:sz w:val="26"/>
        </w:rPr>
        <w:t>- Công chức tư pháp -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Trường hợp có khiếu nại, tố cáo việc kết hôn không đủ điều kiện kết hôn theo quy định của Luật Hôn nhân và gia đình hoặc xét thấy có vấn đề cần làm rõ về nhân thân của bên nam, bên nữ hoặc giấy tờ trong hồ sơ đăng ký kết hôn, công chức làm công tác hộ tịch báo cáo Trưởng phòng Tư pháp để phối hợp với cơ quan có liên quan xác minh làm rõ. Trong quá trình thẩm tra, xác minh hồ sơ, nếu thấy cần thiết, thì làm việc trực tiếp với các bên để làm rõ về nhân thân, sự tự nguyện kết hôn, mục đích kết hôn.</w:t>
      </w:r>
    </w:p>
    <w:p>
      <w:pPr>
        <w:spacing w:after="0" w:before="0" w:lineRule="auto" w:line="276"/>
        <w:jc w:val="both"/>
      </w:pPr>
      <w:r>
        <w:rPr>
          <w:rFonts w:ascii="Times New Roman" w:hAnsi="Times New Roman" w:cs="Times New Roman" w:eastAsia="Times New Roman"/>
          <w:b w:val="false"/>
          <w:sz w:val="26"/>
        </w:rPr>
        <w:t>+ Nếu thấy hồ sơ đầy đủ, hợp lệ, các bên có đủ điều kiện kết hôn theo quy định của Luật Hôn nhân và gia đình, không thuộc trường hợp từ chối đăng ký kết hôn theo quy định, trường hợp tiếp nhận hồ sơ đăng ký kết hôn theo hình thức trực tiếp, thì công chức làm công tác hộ tịch thực hiện việc ghi vào Sổ đăng ký kết hôn, cập nhật thông tin đăng ký kết hôn trên Phần mềm đăng ký, quản lý hộ tịch điện tử dùng chung, lưu chính thức.</w:t>
      </w:r>
    </w:p>
    <w:p>
      <w:pPr>
        <w:spacing w:after="0" w:before="0" w:lineRule="auto" w:line="276"/>
        <w:jc w:val="both"/>
      </w:pPr>
      <w:r>
        <w:rPr>
          <w:rFonts w:ascii="Times New Roman" w:hAnsi="Times New Roman" w:cs="Times New Roman" w:eastAsia="Times New Roman"/>
          <w:b w:val="false"/>
          <w:sz w:val="26"/>
        </w:rPr>
        <w:t>Trường hợp tiếp nhận hồ sơ đăng ký kết hôn theo hình thức trực tuyến, công chức làm công tác hộ tịch gửi lại biểu mẫu Giấy chứng nhận kết hôn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Giấy chứng nhận kết hôn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làm công tác hộ tịch thực hiện việc ghi nội dung vào Sổ đăng ký kết hôn, cập nhật thông tin đăng ký kết hôn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Giấy chứng nhận kết hôn, trình Lãnh đạo Ủy ban nhân dân cấp xã ký, chuyển tới Trung tâm Phục vụ hành chính công để trả kết quả cho người yêu cầu.</w:t>
      </w:r>
    </w:p>
    <w:p>
      <w:pPr>
        <w:spacing w:after="0" w:before="0" w:lineRule="auto" w:line="276"/>
        <w:jc w:val="both"/>
      </w:pPr>
      <w:r>
        <w:rPr>
          <w:rFonts w:ascii="Times New Roman" w:hAnsi="Times New Roman" w:cs="Times New Roman" w:eastAsia="Times New Roman"/>
          <w:b w:val="false"/>
          <w:sz w:val="26"/>
        </w:rPr>
        <w:t>- Người có yêu cầu đăng ký kết hôn (hai bên nam, nữ phải có mặt, xuất trình giấy tờ tuỳ thân để đối chiếu) kiểm tra thông tin trên Giấy chứng nhận kết hôn, trong Sổ đăng ký kết hôn, khẳng định sự tự nguyện kết hôn và ký tên vào Sổ đăng ký kết hôn, ký tên vào Giấy chứng nhận kết hôn, mỗi bên nam, nữ nhận 01 bản chính Giấy chứng nhận kết hôn.</w:t>
      </w:r>
    </w:p>
    <w:p>
      <w:pPr>
        <w:spacing w:after="0" w:before="0" w:lineRule="auto" w:line="276"/>
        <w:jc w:val="both"/>
      </w:pPr>
      <w:r>
        <w:rPr>
          <w:rFonts w:ascii="Times New Roman" w:hAnsi="Times New Roman" w:cs="Times New Roman" w:eastAsia="Times New Roman"/>
          <w:b w:val="false"/>
          <w:sz w:val="26"/>
        </w:rPr>
        <w:t>Trường hợp một hoặc hai bên nam, nữ không thể có mặt để nhận Giấy chứng nhận kết hôn thì theo đề nghị bằng văn bản của họ, công chức làm công tác hộ tịch báo cáo Trưởng phòng Tư pháp thực hiện gia hạn thời gian trao Giấy chứng nhận kết hôn nhưng không quá 60 ngày, kể từ ngày Chủ tịch Ủy ban nhân dân cấp huyện ký Giấy chứng nhận kết hôn. Hết 60 ngày mà hai bên nam, nữ không đến nhận Giấy chứng nhận kết hôn thì công chức làm công tác hộ tịch báo cáo Chủ tịch Ủy ban nhân dân cấp huyện hủy Giấy chứng nhận kết hôn đã ký. Nếu sau đó hai bên nam, nữ vẫn muốn kết hôn với nhau thì phải tiến hành thủ tục đăng ký kết hôn từ đầu.</w:t>
      </w:r>
    </w:p>
    <w:p>
      <w:pPr>
        <w:spacing w:after="0" w:before="0" w:lineRule="auto" w:line="276"/>
        <w:jc w:val="both"/>
      </w:pPr>
      <w:r>
        <w:rPr>
          <w:rFonts w:ascii="Times New Roman" w:hAnsi="Times New Roman" w:cs="Times New Roman" w:eastAsia="Times New Roman"/>
          <w:b w:val="false"/>
          <w:sz w:val="26"/>
        </w:rPr>
        <w:t>Hết 60 ngày mà hai bên nam, nữ không đến nhận Giấy chứng nhận kết hôn thì công chức tư pháp - hộ tịch báo cáo Lãnh đạo Ủy ban nhân dân hủy Giấy chứng nhận kết hôn đã ký. Nếu sau đó hai bên nam, nữ vẫn muốn kết hôn với nhau thì phải tiến hành thủ tục đăng ký kết hôn từ đầu.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10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Người yêu cầu đăng ký kết hôn thực hiện nộp hồ sơ trực tiếp tại Trung tâm Phục vụ hành chính công, gửi qua hệ thống bưu chính hoặc nộp hồ sơ trực tuyến tại Cổng dịch vụ công quốc gia (https://dichvucong.gov.vn) (bên nam hoặc bên nữ có thể nộp hồ sơ mà không cần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10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Người yêu cầu đăng ký kết hôn thực hiện nộp hồ sơ trực tiếp tại Trung tâm Phục vụ hành chính công, gửi qua hệ thống bưu chính hoặc nộp hồ sơ trực tuyến tại Cổng dịch vụ công quốc gia (https://dichvucong.gov.vn) (bên nam hoặc bên nữ có thể nộp hồ sơ mà không cần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05 ngày làm việc, trường hợp phải xác minh thì thời hạn giải quyết không quá 10 ngày làm việc. </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w:t>
            </w:r>
          </w:p>
        </w:tc>
        <w:tc>
          <w:p/>
          <w:p>
            <w:pPr>
              <w:spacing w:after="0" w:before="0" w:lineRule="auto" w:line="276"/>
              <w:jc w:val="left"/>
            </w:pPr>
            <w:r>
              <w:rPr>
                <w:rFonts w:ascii="Times New Roman" w:hAnsi="Times New Roman" w:cs="Times New Roman" w:eastAsia="Times New Roman"/>
                <w:b w:val="false"/>
                <w:sz w:val="26"/>
              </w:rPr>
              <w:t>Người yêu cầu đăng ký kết hôn thực hiện nộp hồ sơ trực tiếp tại Trung tâm Phục vụ hành chính công, gửi qua hệ thống bưu chính hoặc nộp hồ sơ trực tuyến tại Cổng dịch vụ công quốc gia (https://dichvucong.gov.vn) (bên nam hoặc bên nữ có thể nộp hồ sơ mà không cần có văn bản ủy quyền của bên còn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xác nhận của tổ chức y tế có thẩm quyền của Việt Nam hoặc nước ngoài xác nhận các bên kết hôn không mắc bệnh tâm thần hoặc bệnh khác mà không có khả năng nhận thức, làm chủ được hành vi của mình;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tình trạng hôn nhân của người nước ngoài do cơ quan có thẩm quyền của nước mà người đó là công dân cấp còn giá trị sử dụng, xác nhận hiện tại người đó không có vợ hoặc không có chồng; trường hợp nước ngoài không cấp xác nhận tình trạng hôn nhân thì thay bằng giấy tờ do cơ quan có thẩm quyền nước ngoài xác nhận người đó có đủ điều kiện kết hôn theo pháp luật nước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Giá trị sử dụng của giấy tờ chứng minh tình trạng hôn nhân của người nước ngoài được xác định theo thời hạn ghi trên giấy tờ đó. Trường hợp giấy tờ chứng minh tình trạng hôn nhân không ghi thời hạn sử dụng thì giấy tờ này và giấy xác nhận của tổ chức y tế có giá trị trong thời hạn 06 tháng, kể từ ngày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nước ngoài, công dân Việt Nam định cư ở nước ngoài phải nộp bản sao hộ chiếu/giấy tờ có giá trị thay thế hộ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Ngoài giấy tờ nêu trên, tùy từng trường hợp, bên nam, bên nữ phải nộp giấy tờ tương ứng sau đây: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Công dân Việt Nam đã ly hôn hoặc hủy việc kết hôn tại cơ quan có thẩm quyền của nước ngoài phải nộp bản sao trích lục hộ tịch về việc đã ghi vào sổ việc ly hôn hoặc hủy việc kết hôn trái pháp luật (Trích lục ghi chú ly 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Công dân Việt Nam là công chức, viên chức hoặc đang phục vụ trong lực lượng vũ trang phải nộp văn bản của cơ quan, đơn vị quản lý xác nhận việc kết hôn với người nước ngoài không trái với quy định của ngành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kết hôn đang công tác, học tập, lao động có thời hạn ở nước ngoài thì phải nộp Giấy xác nhận tình trạng hôn nhân do Cơ quan đại diện ngoại giao, Cơ quan đại diện lãnh sự của Việt Nam ở nước ngoài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công dân Việt Nam.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nước ngoài xuất trình bản chính hộ chiếu để chứng minh về nhân thân; trường hợp người nước ngoài không có hộ chiếu để xuất trình thì có thể xuất trình giấy tờ đi lại quốc tế hoặc thẻ cư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yêu cầu đăng ký khai sinh mà cha, mẹ trẻ đã đăng ký kết hôn, trên cơ sở thông tin về Giấy chứng nhận kết hôn cung cấp trong Tờ khai đăng ký khai sinh, cơ quan đăng ký hộ tịch có trách nhiệm tra cứu thông tin về tình trạng hôn nhân của cha, mẹ trẻ trên Hệ thống thông tin giải quyết thủ tục hành chính cấp tỉnh thông qua kết nối với CSDLHTĐT, CSQGVDC. Kết quả tra cứu được lưu trữ dưới dạng điện tử hoặc bản giấy, phản ánh đầy đủ, chính xác thông tin tại thời điểm tra cứu và đính kèm hồ sơ của người đăng ký. Trường hợp không tra cứu được tình trạng hôn nhân do chưa có thông tin trong CSDLHTĐT, CSQGVDC, thì cơ quan đăng ký hộ tịch đề nghị Ủy ban nhân dân cấp xã nơi người yêu cầu thường trú/nơi đã đăng ký kết hôn xác minh, cung cấp thông tin. Trong thời hạn 03 ngày làm việc kể từ ngày nhận được yêu cầu xác minh, Ủy ban nhân dân cấp xã nơi nhận được đề nghị xác minh có trách nhiệm kiểm tra, xác minh và gửi kết quả về tình trạng hôn nhân của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Nếu bên kết hôn là công dân Việt Nam đã ly hôn hoặc hủy việc kết hôn tại cơ quan có thẩm quyền nước ngoài nhưng qua tra cứu thông tin trong Cơ sở dữ liệu hộ tịch điện tử; thông qua kết nối giữa Hệ thống thông tin giải quyết thủ tục hành chính cấp tỉnh với Cơ sở dữ liệu hộ tịch điện tử, Cơ sở dữ liệu quốc gia về dân cư không thể hiện thông tin về việc đã ghi chú ly hôn, hủy việc kết hôn thì cơ quan đăng ký hộ tịch hướng dẫn công dân thực hiện thủ tục ghi vào sổ hộ tịch việc ly hôn/hủy việc kết hôn tại cơ quan nhà nước có thẩm quyền trước khi giải quyết việc đăng ký kết 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kết hôn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kết hôn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Khi đến cơ quan đăng ký hộ tịch nhận kết quả (Giấy chứng nhận kết hôn), người có yêu cầu đăng ký kết hôn phải nộp giấy tờ chứng minh tình trạng hôn nhân (đối với người nước ngoài), giấy xác nhận của tổ chức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kết hôn không cung cấp được giấy tờ nêu trên theo quy định hoặc giấy tờ nộp, xuất trình bị tẩy xóa, sửa chữa, làm giả thì cơ quan đăng ký hộ tịch có thẩm quyền hủy bỏ kết quả đăng ký kết hôn.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kết hôn theo mẫu, có đủ thông tin của hai bên nam, nữ. Hai bên nam, nữ có thể khai chung vào một Tờ khai đăng ký kết hôn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2.TKngkkthn.doc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kết hôn (do người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2.DDTTT-ngkkthn.doc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kết hôn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kết hôn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52/2014/QH13 </w:t>
            </w:r>
          </w:p>
        </w:tc>
        <w:tc>
          <w:p/>
          <w:p>
            <w:pPr>
              <w:spacing w:after="0" w:before="0" w:lineRule="auto" w:line="276"/>
              <w:jc w:val="left"/>
            </w:pPr>
            <w:r>
              <w:rPr>
                <w:rFonts w:ascii="Times New Roman" w:hAnsi="Times New Roman" w:cs="Times New Roman" w:eastAsia="Times New Roman"/>
                <w:b w:val="false"/>
                <w:sz w:val="26"/>
              </w:rPr>
              <w:t>Luật Hôn nhân và Gia đình</w:t>
            </w:r>
          </w:p>
        </w:tc>
        <w:tc>
          <w:p/>
          <w:p>
            <w:pPr>
              <w:spacing w:after="0" w:before="0" w:lineRule="auto" w:line="276"/>
              <w:jc w:val="left"/>
            </w:pPr>
            <w:r>
              <w:rPr>
                <w:rFonts w:ascii="Times New Roman" w:hAnsi="Times New Roman" w:cs="Times New Roman" w:eastAsia="Times New Roman"/>
                <w:b w:val="false"/>
                <w:sz w:val="26"/>
              </w:rPr>
              <w:t>19-06-2014</w:t>
            </w:r>
          </w:p>
        </w:tc>
        <w:tc>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52/2014/QH13</w:t>
            </w:r>
          </w:p>
        </w:tc>
        <w:tc>
          <w:p/>
          <w:p>
            <w:pPr>
              <w:spacing w:after="0" w:before="0" w:lineRule="auto" w:line="276"/>
              <w:jc w:val="left"/>
            </w:pPr>
            <w:r>
              <w:rPr>
                <w:rFonts w:ascii="Times New Roman" w:hAnsi="Times New Roman" w:cs="Times New Roman" w:eastAsia="Times New Roman"/>
                <w:b w:val="false"/>
                <w:sz w:val="26"/>
              </w:rPr>
              <w:t>19-06-2014</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số 85/2019/TT-BTC ngày 29 tháng 11 năm 2019 của Bộ trưởng Bộ Tài chính hướng dẫn về phí và lệ phí thuộc thẩm quyền quyết định của HĐND tỉnh, thành phố trực thuộc Trung ương (được sửa đổi bổ sung tại Thông tư số 106/2021/TT-BTC ngày 26 tháng 11 năm 2021 và Thông tư số 75/2022/TT-BTC ngày 22 tháng 12 năm 2022 của Bộ trưởng Bộ Tài chính)</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 quy định chi tiết một số điều và biện pháp thi hành Nghị định 87/2020/NĐ-CP về CSDL hộ tịch điện tử, đăng ký hộ tịch trực tuyến</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03/2023/TT-BTP</w:t>
            </w:r>
          </w:p>
        </w:tc>
        <w:tc>
          <w:p/>
          <w:p>
            <w:pPr>
              <w:spacing w:after="0" w:before="0" w:lineRule="auto" w:line="276"/>
              <w:jc w:val="left"/>
            </w:pPr>
            <w:r>
              <w:rPr>
                <w:rFonts w:ascii="Times New Roman" w:hAnsi="Times New Roman" w:cs="Times New Roman" w:eastAsia="Times New Roman"/>
                <w:b w:val="false"/>
                <w:sz w:val="26"/>
              </w:rPr>
              <w:t>Thông tư 03/2023/TT-BTP sửa đổi, bổ sung một số nội dung của Thông tư số 01/2022/TT-BTP ngày 04/01/2022 của Bộ trưởng Bộ Tư pháp quy định chi tiết một số điều và biện pháp thi hành Nghị định số 87/2020/NĐ-CP ngày 28/7/2020 của Chính phủ quy định về Cơ sở dữ liệu hộ tịch điện tử, đăng ký hộ tịch trực tuyến</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Nam từ đủ 20 tuổi trở lên, nữ từ đủ 18 tuổi trở lên;
- Việc kết hôn do nam và nữ tự nguyện quyết định;
- Các bên không bị mất năng lực hành vi dân sự;
- Công dân Việt Nam định cư ở nước ngoài phải có giấy tờ cho phép cư trú do cơ quan có thẩm quyền nước ngoài cấp.
- Việc kết hôn không thuộc một trong các trường hợp cấm kết hôn theo quy định tại các điểm a, b, c và d khoản 2 Điều 5 của Luật Hôn nhân và gia đình, gồm:
+ Kết hôn giả tạo;
+ Tảo hôn, cưỡng ép kết hôn, lừa dối kết hôn, cản trở kết hôn;
+ Người đang có vợ, có chồng mà kết hôn với người khác hoặc chưa có vợ, chưa có chồng mà kết hôn với người đang có chồng, có vợ;
+ Kết hôn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
* Nhà nước không thừa nhận hôn nhân giữa những người cùng giới tính.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2025-11-27T16:42:46Z</dcterms:created>
  <dc:creator>Apache POI</dc:creator>
</cp:coreProperties>
</file>