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1856/QĐ-BTP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nội dung Giấy phép thành lập của Trung tâm Trọng tài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Trọng tài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Khi có nhu cầu thay đổi về tên gọi, lĩnh vực hoạt động, Trung tâm trọng tài gửi hồ sơ đề nghị thay đổi tên gọi, lĩnh vực hoạt động đến Sở Tư pháp nơi Trung tâm trọng tài đặt trụ sở.
- Trong thời hạn 15 ngày làm việc kể từ ngày nhận được hồ sơ của Trung tâm trọng tài, Sở Tư pháp thẩm định hồ sơ, trình Chủ tịch Ủy ban nhân dân cấp tỉnh xem xét, trường hợp chấp thuận thì ghi nội dung thay đổi vào Giấy phép thành lập Trung tâm trọng tài trong trường hợp Giấy phép thành lập do Chủ tịch Ủy ban nhân dân cấp tỉnh cấp. Trường hợp Giấy phép thành lập Trung tâm trọng tài do Bộ Tư pháp cấp thì Sở Tư pháp tham mưu, trình Chủ tịch Ủy ban nhân dân cấp tỉnh cấp lại Giấy phép thành lập Trung tâm trọng tài theo nội dung thay đổi; trường hợp không chấp thuận nội dung đề nghị thay đổi thì phải có văn bản trả lời và nêu rõ lý do.
- Người yêu cầu nhận kết quả tại Sở Tư pháp nơi mình nộp hồ sơ hoặc qua dịch vụ bưu chính, trừ trường hợp pháp luật có quy định khác.
- Trung tâm trọng tài đã được Chủ tịch Uỷ ban nhân dân cấp tỉnh chấp thuận thay đổi nội dung Giấy phép thành lập thì phải đề nghị thay đổi nội dung Giấy đăng ký hoạt động tại Sở Tư pháp tỉnh, thành phố trực thuộc trung ương nơi Trung tâm đặt trụ sở trong vòng 15 ngày kể từ ngày văn bản chấp thuận việc thay đổi nội dung Giấy phép thành lập có hiệu lực.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Lệ phí : 1.000.000 Đồng</w:t>
              <w:t xml:space="preserve"> (Một triệu đồng)</w:t>
            </w:r>
          </w:p>
        </w:tc>
        <w:tc>
          <w:p/>
          <w:p>
            <w:pPr>
              <w:spacing w:after="0" w:before="0" w:lineRule="auto" w:line="276"/>
              <w:jc w:val="left"/>
            </w:pPr>
            <w:r>
              <w:rPr>
                <w:rFonts w:ascii="Times New Roman" w:hAnsi="Times New Roman" w:cs="Times New Roman" w:eastAsia="Times New Roman"/>
                <w:b w:val="false"/>
                <w:sz w:val="26"/>
              </w:rPr>
              <w:t>Kể từ ngày văn bản chấp thuận việc thay đổi nội dung Giấy phép thành lập có hiệu lực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1.000.000 Đồng</w:t>
              <w:t xml:space="preserve"> (Một triệu đồng)</w:t>
            </w:r>
          </w:p>
        </w:tc>
        <w:tc>
          <w:p/>
          <w:p>
            <w:pPr>
              <w:spacing w:after="0" w:before="0" w:lineRule="auto" w:line="276"/>
              <w:jc w:val="left"/>
            </w:pPr>
            <w:r>
              <w:rPr>
                <w:rFonts w:ascii="Times New Roman" w:hAnsi="Times New Roman" w:cs="Times New Roman" w:eastAsia="Times New Roman"/>
                <w:b w:val="false"/>
                <w:sz w:val="26"/>
              </w:rPr>
              <w:t>kể từ ngày văn bản chấp thuận việc thay đổi nội dung Giấy phép thành lập có hiệu lực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1.000.000 Đồng</w:t>
              <w:t xml:space="preserve"> (Một triệu đồng)</w:t>
            </w:r>
          </w:p>
        </w:tc>
        <w:tc>
          <w:p/>
          <w:p>
            <w:pPr>
              <w:spacing w:after="0" w:before="0" w:lineRule="auto" w:line="276"/>
              <w:jc w:val="left"/>
            </w:pPr>
            <w:r>
              <w:rPr>
                <w:rFonts w:ascii="Times New Roman" w:hAnsi="Times New Roman" w:cs="Times New Roman" w:eastAsia="Times New Roman"/>
                <w:b w:val="false"/>
                <w:sz w:val="26"/>
              </w:rPr>
              <w:t>kể từ ngày văn bản chấp thuận việc thay đổi nội dung Giấy phép thành lập có hiệu lực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thay đổi nội dung Giấy phép thành lập Trung tâm trọng tài</w:t>
            </w:r>
          </w:p>
        </w:tc>
        <w:tc>
          <w:p/>
          <w:p>
            <w:pPr>
              <w:spacing w:after="0" w:before="0" w:lineRule="auto" w:line="276"/>
              <w:jc w:val="left"/>
            </w:pPr>
            <w:r>
              <w:rPr>
                <w:rFonts w:ascii="Times New Roman" w:hAnsi="Times New Roman" w:cs="Times New Roman" w:eastAsia="Times New Roman"/>
                <w:b w:val="false"/>
                <w:sz w:val="26"/>
              </w:rPr>
              <w:t>Mus05-PLIII-TTTM.docx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thành lập của Trung tâm trọng tài và bản sao giấy tờ liên quan đến việc thay đổi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Chủ tịch ủy ban nhân dân cấp tỉnh, 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Trung tâm trọng tài, Văn bản chấp thuận hoặc không chấp thuận việc thay đổi nội dung Giấy phép thành lập của Trung tâm trọng tài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54/2010/QH12</w:t>
            </w:r>
          </w:p>
        </w:tc>
        <w:tc>
          <w:p/>
          <w:p>
            <w:pPr>
              <w:spacing w:after="0" w:before="0" w:lineRule="auto" w:line="276"/>
              <w:jc w:val="left"/>
            </w:pPr>
            <w:r>
              <w:rPr>
                <w:rFonts w:ascii="Times New Roman" w:hAnsi="Times New Roman" w:cs="Times New Roman" w:eastAsia="Times New Roman"/>
                <w:b w:val="false"/>
                <w:sz w:val="26"/>
              </w:rPr>
              <w:t>Luật 54/2010/QH12 - Trọng tài thương mại</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63/2011/NĐ-CP</w:t>
            </w:r>
          </w:p>
        </w:tc>
        <w:tc>
          <w:p/>
          <w:p>
            <w:pPr>
              <w:spacing w:after="0" w:before="0" w:lineRule="auto" w:line="276"/>
              <w:jc w:val="left"/>
            </w:pPr>
            <w:r>
              <w:rPr>
                <w:rFonts w:ascii="Times New Roman" w:hAnsi="Times New Roman" w:cs="Times New Roman" w:eastAsia="Times New Roman"/>
                <w:b w:val="false"/>
                <w:sz w:val="26"/>
              </w:rPr>
              <w:t>Nghị định 63/2011/NĐ-CP - Quy định chi tiết và hướng dẫn thi hành một số điều của Luật Trọng tài thương mại</w:t>
            </w:r>
          </w:p>
        </w:tc>
        <w:tc>
          <w:p/>
          <w:p>
            <w:pPr>
              <w:spacing w:after="0" w:before="0" w:lineRule="auto" w:line="276"/>
              <w:jc w:val="left"/>
            </w:pPr>
            <w:r>
              <w:rPr>
                <w:rFonts w:ascii="Times New Roman" w:hAnsi="Times New Roman" w:cs="Times New Roman" w:eastAsia="Times New Roman"/>
                <w:b w:val="false"/>
                <w:sz w:val="26"/>
              </w:rPr>
              <w:t>28-07-2011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222/2016/TT-BTC</w:t>
            </w:r>
          </w:p>
        </w:tc>
        <w:tc>
          <w:p/>
          <w:p>
            <w:pPr>
              <w:spacing w:after="0" w:before="0" w:lineRule="auto" w:line="276"/>
              <w:jc w:val="left"/>
            </w:pPr>
            <w:r>
              <w:rPr>
                <w:rFonts w:ascii="Times New Roman" w:hAnsi="Times New Roman" w:cs="Times New Roman" w:eastAsia="Times New Roman"/>
                <w:b w:val="false"/>
                <w:sz w:val="26"/>
              </w:rPr>
              <w:t>Thông tư số 222/2016/TT-BTC ngày 10/11/2016 của Bộ trưởng Bộ Tài chính quy định mức thu, chế độ thu, nộp, quản lý phí thẩm định tiểu chuẩn, điều kiện hành nghề trong lĩnh vực hoạt động trọng tài thương mại</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12/2012/TT-BTP</w:t>
            </w:r>
          </w:p>
        </w:tc>
        <w:tc>
          <w:p/>
          <w:p>
            <w:pPr>
              <w:spacing w:after="0" w:before="0" w:lineRule="auto" w:line="276"/>
              <w:jc w:val="left"/>
            </w:pPr>
            <w:r>
              <w:rPr>
                <w:rFonts w:ascii="Times New Roman" w:hAnsi="Times New Roman" w:cs="Times New Roman" w:eastAsia="Times New Roman"/>
                <w:b w:val="false"/>
                <w:sz w:val="26"/>
              </w:rPr>
              <w:t>Thông tư 12/2012/TT-BTP - Ban hành một số biếu mẫu về tổ chức và hoạt động trọng tài thương mại</w:t>
            </w:r>
          </w:p>
        </w:tc>
        <w:tc>
          <w:p/>
          <w:p>
            <w:pPr>
              <w:spacing w:after="0" w:before="0" w:lineRule="auto" w:line="276"/>
              <w:jc w:val="left"/>
            </w:pPr>
            <w:r>
              <w:rPr>
                <w:rFonts w:ascii="Times New Roman" w:hAnsi="Times New Roman" w:cs="Times New Roman" w:eastAsia="Times New Roman"/>
                <w:b w:val="false"/>
                <w:sz w:val="26"/>
              </w:rPr>
              <w:t>07-11-2012</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121/2025/NĐ-CP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2025-11-27T16:43:07Z</dcterms:created>
  <dc:creator>Apache POI</dc:creator>
</cp:coreProperties>
</file>