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hưởng chế độ tử tuất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hồ sơ</w:t>
      </w:r>
    </w:p>
    <w:p>
      <w:pPr>
        <w:spacing w:after="0" w:before="0" w:lineRule="auto" w:line="276"/>
        <w:jc w:val="both"/>
      </w:pPr>
      <w:r>
        <w:rPr>
          <w:rFonts w:ascii="Times New Roman" w:hAnsi="Times New Roman" w:cs="Times New Roman" w:eastAsia="Times New Roman"/>
          <w:b w:val="false"/>
          <w:sz w:val="26"/>
        </w:rPr>
        <w:t>Thân nhân NLĐ lập hồ sơ theo quy định tại mục Thành phần hồ sơ</w:t>
      </w:r>
    </w:p>
    <w:p>
      <w:pPr>
        <w:shd w:val="clear" w:color="auto" w:fill="F2F6F9"/>
        <w:spacing w:after="0" w:before="120" w:lineRule="auto" w:line="276"/>
        <w:jc w:val="both"/>
      </w:pPr>
      <w:r>
        <w:rPr>
          <w:rFonts w:ascii="Times New Roman" w:hAnsi="Times New Roman" w:cs="Times New Roman" w:eastAsia="Times New Roman"/>
          <w:b w:val="true"/>
          <w:sz w:val="26"/>
        </w:rPr>
        <w:t>Bước 2. Nộp hồ sơ</w:t>
      </w:r>
    </w:p>
    <w:p>
      <w:pPr>
        <w:spacing w:after="0" w:before="0" w:lineRule="auto" w:line="276"/>
        <w:jc w:val="both"/>
      </w:pPr>
      <w:r>
        <w:rPr>
          <w:rFonts w:ascii="Times New Roman" w:hAnsi="Times New Roman" w:cs="Times New Roman" w:eastAsia="Times New Roman"/>
          <w:b w:val="false"/>
          <w:sz w:val="26"/>
        </w:rPr>
        <w:t>1. Trường hợp NLĐ đang đóng BHXH bắt buộc mà bị chết: Thân nhân nộp hồ sơ cho đơn vị SDLĐ. Đơn vị SDLĐ tiếp nhận đủ hồ sơ từ thân nhân NLĐ, nộp hồ sơ cho cơ quan BHXH nơi đơn vị đóng BHXH.</w:t>
      </w:r>
    </w:p>
    <w:p>
      <w:pPr>
        <w:spacing w:after="0" w:before="0" w:lineRule="auto" w:line="276"/>
        <w:jc w:val="both"/>
      </w:pPr>
      <w:r>
        <w:rPr>
          <w:rFonts w:ascii="Times New Roman" w:hAnsi="Times New Roman" w:cs="Times New Roman" w:eastAsia="Times New Roman"/>
          <w:b w:val="false"/>
          <w:sz w:val="26"/>
        </w:rPr>
        <w:t>2. Trường hợp NLĐ bị chết mà đang bảo lưu thời gian đóng BHXH bắt buộc (áp dụng đối với cả trường hợp người bị chết trong thời gian đang đóng BHXH mà đơn vị SDLĐ đã thực hiện chốt sổ BHXH nếu thân nhân có nguyện vọng trực tiếp nộp hồ sơ, trừ trường hợp chết do TNLĐ, BNN) hoặc đang chờ đủ điều kiện về tuổi đời để hưởng chế độ hưu trí, trợ cấp cán bộ xã hàng tháng hoặc tham gia BHXH tự nguyện: Thân nhân nộp hồ sơ theo quy định cho cơ quan BHXH.</w:t>
      </w:r>
    </w:p>
    <w:p>
      <w:pPr>
        <w:spacing w:after="0" w:before="0" w:lineRule="auto" w:line="276"/>
        <w:jc w:val="both"/>
      </w:pPr>
      <w:r>
        <w:rPr>
          <w:rFonts w:ascii="Times New Roman" w:hAnsi="Times New Roman" w:cs="Times New Roman" w:eastAsia="Times New Roman"/>
          <w:b w:val="false"/>
          <w:sz w:val="26"/>
        </w:rPr>
        <w:t>3. Trường hợp người đang hưởng hoặc đang tạm dừng hưởng lương hưu, trợ cấp BHXH hàng tháng chết: Thân nhân nộp hồ sơ cho cơ quan BHXH nơi đang chi trả lương hưu, trợ cấp BHXH hàng tháng của NLĐ (đối với trường hợp đang hưởng) hoặc nơi đang chi trả trước khi tạm dừng hưởng (đối với trường hợp đang tạm dừng hưởng).</w:t>
      </w:r>
    </w:p>
    <w:p>
      <w:pPr>
        <w:shd w:val="clear" w:color="auto" w:fill="F2F6F9"/>
        <w:spacing w:after="0" w:before="120" w:lineRule="auto" w:line="276"/>
        <w:jc w:val="both"/>
      </w:pPr>
      <w:r>
        <w:rPr>
          <w:rFonts w:ascii="Times New Roman" w:hAnsi="Times New Roman" w:cs="Times New Roman" w:eastAsia="Times New Roman"/>
          <w:b w:val="true"/>
          <w:sz w:val="26"/>
        </w:rPr>
        <w:t>Bước 3.</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4. Nhận kết quả giải quyết</w:t>
      </w:r>
    </w:p>
    <w:p>
      <w:pPr>
        <w:spacing w:after="0" w:before="0" w:lineRule="auto" w:line="276"/>
        <w:jc w:val="both"/>
      </w:pPr>
      <w:r>
        <w:rPr>
          <w:rFonts w:ascii="Times New Roman" w:hAnsi="Times New Roman" w:cs="Times New Roman" w:eastAsia="Times New Roman"/>
          <w:b w:val="false"/>
          <w:sz w:val="26"/>
        </w:rPr>
        <w:t>1. Đơn vị SDLĐ: Nhận Quyết định về việc hưởng trợ cấp mai táng, Quyết định về việc hưởng chế độ tử tuất hàng tháng hoặc một lần; bản quá trình đóng BHXH; Thông báo về việc chi trả lương hưu, trợ cấp BHXH đối với trường hợp di chuyển hưởng chế độ  BHXH tại huyện/tỉnh khác để trả cho thân nhân NLĐ đối với các trường hợp nêu tại điểm 1 bước 2 mục 7.1.</w:t>
      </w:r>
    </w:p>
    <w:p>
      <w:pPr>
        <w:spacing w:after="0" w:before="0" w:lineRule="auto" w:line="276"/>
        <w:jc w:val="both"/>
      </w:pPr>
      <w:r>
        <w:rPr>
          <w:rFonts w:ascii="Times New Roman" w:hAnsi="Times New Roman" w:cs="Times New Roman" w:eastAsia="Times New Roman"/>
          <w:b w:val="false"/>
          <w:sz w:val="26"/>
        </w:rPr>
        <w:t>2. Thân nhân NLĐ:
- Nhận tiền trợ cấp
- Thân nhân NLĐ nêu tại điểm 2, 3 bước 2 mục 7.1: Nhận Quyết định về việc hưởng trợ cấp mai táng, Quyết định về việc hưởng chế độ tử tuất hàng tháng hoặc một lần; bản quá trình đóng BHXH (đối với người đang tham gia hoặc bảo lưu thời gian đóng BHXH bị chết); Thông báo về việc chi trả lương hưu, trợ cấp BHXH đối với trường hợp di chuyển hưởng chế độ  BHXH tại huyện/tỉnh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Đơn vị SDLĐ, thân nhân NLĐ nộp hồ sơ bằng một trong các hình thức sau: 
- Trực tiếp tại cơ quan BHXH hoặc Trung tâm phục vụ HCC các cấp (nếu có).
2. Nhận kết quả:
 - Đơn vị SDLĐ, thân nhân NLĐ nhận hồ sơ, giấy tờ liên quan: Theo hình thức đăng ký nhận hồ sơ (trực tiếp tại cơ quan BHXH hoặc qua dịch vụ bưu chính công ích hoặc qua giao dịch điện tử.
- Tiền trợ cấp: Thân nhân NLĐ nhận theo một trong các hình thức sau:
+ Thông qua tài khoản cá nhân.
+ Bằng tiền mặt tại cơ quan BHXH (đối với nhận trợ cấp một lần).
+ Bằng tiền mặt thông qua tổ chức dịch vụ chi trả (đối với hưởng chế độ hàng tháng).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Đơn vị SDLĐ, thân nhân NLĐ nộp hồ sơ qua giao dịch điện tử 
- Trực tuyến (trường hợp nộp hồ sơ: hồ sơ giấy không chuyển đổi được sang hồ sơ điện tử thì đơn vị gửi hồ sơ giấy về cơ quan BHXH qua dịch vụ bưu chính).
2. Nhận kết quả:
 - Đơn vị SDLĐ, thân nhân NLĐ nhận hồ sơ, giấy tờ liên quan: Theo hình thức đăng ký nhận hồ sơ (trực tiếp tại cơ quan BHXH hoặc qua dịch vụ bưu chính công ích hoặc qua giao dịch điện tử.
- Tiền trợ cấp: Thân nhân NLĐ nhận theo một trong các hình thức sau:
+ Thông qua tài khoản cá nhân.
+ Bằng tiền mặt tại cơ quan BHXH (đối với nhận trợ cấp một lần).
+ Bằng tiền mặt thông qua tổ chức dịch vụ chi trả (đối với hưởng chế độ hàng tháng).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Đơn vị SDLĐ, thân nhân NLĐ nộp hồ sơ bằng qua dịch vụ bưu chính công ích;
2. Nhận kết quả:
 - Đơn vị SDLĐ, thân nhân NLĐ nhận hồ sơ, giấy tờ liên quan: Theo hình thức đăng ký nhận hồ sơ (trực tiếp tại cơ quan BHXH hoặc qua dịch vụ bưu chính công ích hoặc qua giao dịch điện tử.
- Tiền trợ cấp: Thân nhân NLĐ nhận theo một trong các hình thức sau:
+ Thông qua tài khoản cá nhân.
+ Bằng tiền mặt tại cơ quan BHXH (đối với nhận trợ cấp một lần).
+ Bằng tiền mặt thông qua tổ chức dịch vụ chi trả (đối với hưởng chế độ hàng tháng).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Đối với thân nhân của người đang đóng BHXH và thân nhân người bảo lưu thời gian đóng BHXH: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Bản chính Sổ BHXH.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tử hoặc bản sao Giấy báo tử hoặc trích lục khai tử hoặc bản sao Quyết định tuyên bố là đã chết của Tòa án đã có hiệu lực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chính Tờ khai của thân nhân (mẫu 09-HSB).</w:t>
            </w:r>
          </w:p>
        </w:tc>
        <w:tc>
          <w:p/>
          <w:p>
            <w:pPr>
              <w:spacing w:after="0" w:before="0" w:lineRule="auto" w:line="276"/>
              <w:jc w:val="left"/>
            </w:pPr>
            <w:r>
              <w:rPr>
                <w:rFonts w:ascii="Times New Roman" w:hAnsi="Times New Roman" w:cs="Times New Roman" w:eastAsia="Times New Roman"/>
                <w:b w:val="false"/>
                <w:sz w:val="26"/>
              </w:rPr>
              <w:t>09_HSB.docx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chính Biên bản giám định mức suy giảm KNLĐ của Hội đồng GĐYK đối với thân nhân bị suy giảm KNLĐ từ 81% trở lên (trường hợp NLĐ đã có biên bản giám định y khoa để hưởng các chính sách khác trước đó mà đủ điều kiện hưởng thì có thể thay bằng bản sao) hoặc bản sao Giấy xác nhận khuyết tật mức độ đặc biệt nặng (tương đương mức suy giảm KNLĐ từ 81% trở lên) theo quy định tại Thông tư số 01/2019/TT-BLĐTBXH trong trường hợp hưởng trợ cấp tuất hàng tháng do suy giảm KNLĐ.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Trường hợp chết do TNLĐ, BNN thì có thêm Biên bản điều tra TNLĐ hoặc bản sao bệnh án điều trị BNN.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Trường hợp thanh toán phí GĐYK thì có thêm Hóa đơn, chứng từ thu phí giám định kèm theo bảng kê các nội dung giám định của cơ sở thực hiện GĐYK.</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chính Bản khai cá nhân về thời gian, địa bàn phục vụ trong Quân đội có hưởng phụ cấp khu vực (Mẫu số 04C – HBQP ban hành kèm theo Thông tư số 136/2020/TT-BQP ngày 29/10/2020) đối với người có thời gian phục vụ trong Quân đội trước ngày 01/01/2007 tại địa bàn có hưởng phụ cấp khu vực mà sổ BHXH không thể hiện đầy đủ thông tin làm căn cứ tính phụ cấp khu vực.</w:t>
            </w:r>
          </w:p>
        </w:tc>
        <w:tc>
          <w:p/>
          <w:p>
            <w:pPr>
              <w:spacing w:after="0" w:before="0" w:lineRule="auto" w:line="276"/>
              <w:jc w:val="left"/>
            </w:pPr>
            <w:r>
              <w:rPr>
                <w:rFonts w:ascii="Times New Roman" w:hAnsi="Times New Roman" w:cs="Times New Roman" w:eastAsia="Times New Roman"/>
                <w:b w:val="false"/>
                <w:sz w:val="26"/>
              </w:rPr>
              <w:t>04C_HBQP.docx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không quy định là bản chính thì có thể nộp bản sao hợp lệ. Trường hợp nộp hồ sơ trực tuyến: thành phần hồ sơ quy định là bản sao nhưng NLĐ có thể nộp bản chính điện tử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không quy định là bản chính thì có thể nộp bản sao hợp lệ. Trường hợp nộp hồ sơ trực tuyến: thành phần hồ sơ quy định là bản sao nhưng NLĐ có thể nộp bản chính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thân nhân của người đang hưởng hoặc tạm dừng hưởng lương hưu, trợ cấp BHXH hằng tháng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như quy định tại các điểm b, c, d, e mục 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Tiền trợ cấp, Quyết định về việc hưởng trợ cấp mai táng (mẫu 08A-HSB) đối với trường hợp đang tham gia hoặc đang bảo lưu thời gian đóng BHXH bị chết có thân nhân hưởng trợ cấp tuất hàng tháng, Quyết định về việc hưởng trợ cấp mai táng (mẫu 08B-HSB) áp dụng đối với trường hợp đang hưởng lương hưu, trợ cấp BHXH hàng tháng bị chết có thân nhân hưởng trợ cấp tuất hàng tháng, Quyết định về việc hưởng chế độ tử tuất hàng tháng (mẫu 08C-HSB), Quyết định về việc hưởng chế độ tử tuất một lần (mẫu 08D-HSB) áp dụng đối với thân nhân người đang tham gia hoặc bảo lưu thời gian đóng BHXH bị chết, Quyết định về việc hưởng chế độ tử tuất một lần (mẫu 08E-HSB) áp dụng đối với thân nhân người đang hưởng lương hưu, trợ cấp BHXH hàng tháng chết, Bản quá trình đóng BHXH (đối với trường hợp người đang tham gia BHXH hoặc bảo lưu thời gian đóng BHXH bị chết), Thông báo về việc chi trả lương hưu, trợ cấp BHXH đối với trường hợp di chuyển hưởng chế độ  BHXH tại huyện/tỉnh khác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84/2015/QH13	</w:t>
            </w:r>
          </w:p>
        </w:tc>
        <w:tc>
          <w:p/>
          <w:p>
            <w:pPr>
              <w:spacing w:after="0" w:before="0" w:lineRule="auto" w:line="276"/>
              <w:jc w:val="left"/>
            </w:pPr>
            <w:r>
              <w:rPr>
                <w:rFonts w:ascii="Times New Roman" w:hAnsi="Times New Roman" w:cs="Times New Roman" w:eastAsia="Times New Roman"/>
                <w:b w:val="false"/>
                <w:sz w:val="26"/>
              </w:rPr>
              <w:t>Luật 84/2015/QH13	</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143/2018/NĐ-CP</w:t>
            </w:r>
          </w:p>
        </w:tc>
        <w:tc>
          <w:p/>
          <w:p>
            <w:pPr>
              <w:spacing w:after="0" w:before="0" w:lineRule="auto" w:line="276"/>
              <w:jc w:val="left"/>
            </w:pPr>
            <w:r>
              <w:rPr>
                <w:rFonts w:ascii="Times New Roman" w:hAnsi="Times New Roman" w:cs="Times New Roman" w:eastAsia="Times New Roman"/>
                <w:b w:val="false"/>
                <w:sz w:val="26"/>
              </w:rPr>
              <w:t>Quy định chi tiết Luật bảo hiểm xã hội và Luật an toàn, vệ sinh lao động về bảo hiểm xã hội bắt buộc đối với người lao động là công dân nước ngoài làm việc tại Việt Nam</w:t>
            </w:r>
          </w:p>
        </w:tc>
        <w:tc>
          <w:p/>
          <w:p>
            <w:pPr>
              <w:spacing w:after="0" w:before="0" w:lineRule="auto" w:line="276"/>
              <w:jc w:val="left"/>
            </w:pPr>
            <w:r>
              <w:rPr>
                <w:rFonts w:ascii="Times New Roman" w:hAnsi="Times New Roman" w:cs="Times New Roman" w:eastAsia="Times New Roman"/>
                <w:b w:val="false"/>
                <w:sz w:val="26"/>
              </w:rPr>
              <w:t>15-10-2018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Bảo hiểm xã hội</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115/2015/NĐ-CP</w:t>
            </w:r>
          </w:p>
        </w:tc>
        <w:tc>
          <w:p/>
          <w:p>
            <w:pPr>
              <w:spacing w:after="0" w:before="0" w:lineRule="auto" w:line="276"/>
              <w:jc w:val="left"/>
            </w:pPr>
            <w:r>
              <w:rPr>
                <w:rFonts w:ascii="Times New Roman" w:hAnsi="Times New Roman" w:cs="Times New Roman" w:eastAsia="Times New Roman"/>
                <w:b w:val="false"/>
                <w:sz w:val="26"/>
              </w:rPr>
              <w:t>Nghị định 115/2015/NĐ-CP</w:t>
            </w:r>
          </w:p>
        </w:tc>
        <w:tc>
          <w:p/>
          <w:p>
            <w:pPr>
              <w:spacing w:after="0" w:before="0" w:lineRule="auto" w:line="276"/>
              <w:jc w:val="left"/>
            </w:pPr>
            <w:r>
              <w:rPr>
                <w:rFonts w:ascii="Times New Roman" w:hAnsi="Times New Roman" w:cs="Times New Roman" w:eastAsia="Times New Roman"/>
                <w:b w:val="false"/>
                <w:sz w:val="26"/>
              </w:rPr>
              <w:t>11-11-2015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134/2015/NĐ-CP</w:t>
            </w:r>
          </w:p>
        </w:tc>
        <w:tc>
          <w:p/>
          <w:p>
            <w:pPr>
              <w:spacing w:after="0" w:before="0" w:lineRule="auto" w:line="276"/>
              <w:jc w:val="left"/>
            </w:pPr>
            <w:r>
              <w:rPr>
                <w:rFonts w:ascii="Times New Roman" w:hAnsi="Times New Roman" w:cs="Times New Roman" w:eastAsia="Times New Roman"/>
                <w:b w:val="false"/>
                <w:sz w:val="26"/>
              </w:rPr>
              <w:t>Nghị định 134/2015/NĐ-CP</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01/2016/TT-BLĐTBXH</w:t>
            </w:r>
          </w:p>
        </w:tc>
        <w:tc>
          <w:p/>
          <w:p>
            <w:pPr>
              <w:spacing w:after="0" w:before="0" w:lineRule="auto" w:line="276"/>
              <w:jc w:val="left"/>
            </w:pPr>
            <w:r>
              <w:rPr>
                <w:rFonts w:ascii="Times New Roman" w:hAnsi="Times New Roman" w:cs="Times New Roman" w:eastAsia="Times New Roman"/>
                <w:b w:val="false"/>
                <w:sz w:val="26"/>
              </w:rPr>
              <w:t>Thông tư 01/2016/TT-BLĐTBXH</w:t>
            </w:r>
          </w:p>
        </w:tc>
        <w:tc>
          <w:p/>
          <w:p>
            <w:pPr>
              <w:spacing w:after="0" w:before="0" w:lineRule="auto" w:line="276"/>
              <w:jc w:val="left"/>
            </w:pPr>
            <w:r>
              <w:rPr>
                <w:rFonts w:ascii="Times New Roman" w:hAnsi="Times New Roman" w:cs="Times New Roman" w:eastAsia="Times New Roman"/>
                <w:b w:val="false"/>
                <w:sz w:val="26"/>
              </w:rPr>
              <w:t>18-02-2016</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59/2015/TT-BLĐTBXH</w:t>
            </w:r>
          </w:p>
        </w:tc>
        <w:tc>
          <w:p/>
          <w:p>
            <w:pPr>
              <w:spacing w:after="0" w:before="0" w:lineRule="auto" w:line="276"/>
              <w:jc w:val="left"/>
            </w:pPr>
            <w:r>
              <w:rPr>
                <w:rFonts w:ascii="Times New Roman" w:hAnsi="Times New Roman" w:cs="Times New Roman" w:eastAsia="Times New Roman"/>
                <w:b w:val="false"/>
                <w:sz w:val="26"/>
              </w:rPr>
              <w:t>Thông tư 59/2015/TT-BLĐTBXH</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33/2016/NĐ-CP</w:t>
            </w:r>
          </w:p>
        </w:tc>
        <w:tc>
          <w:p/>
          <w:p>
            <w:pPr>
              <w:spacing w:after="0" w:before="0" w:lineRule="auto" w:line="276"/>
              <w:jc w:val="left"/>
            </w:pPr>
            <w:r>
              <w:rPr>
                <w:rFonts w:ascii="Times New Roman" w:hAnsi="Times New Roman" w:cs="Times New Roman" w:eastAsia="Times New Roman"/>
                <w:b w:val="false"/>
                <w:sz w:val="26"/>
              </w:rPr>
              <w:t>Nghị định 33/2016/NĐ-CP-Quy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tc>
        <w:tc>
          <w:p/>
          <w:p>
            <w:pPr>
              <w:spacing w:after="0" w:before="0" w:lineRule="auto" w:line="276"/>
              <w:jc w:val="left"/>
            </w:pPr>
            <w:r>
              <w:rPr>
                <w:rFonts w:ascii="Times New Roman" w:hAnsi="Times New Roman" w:cs="Times New Roman" w:eastAsia="Times New Roman"/>
                <w:b w:val="false"/>
                <w:sz w:val="26"/>
              </w:rPr>
              <w:t>10-05-2016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166/2016/NĐ-CP</w:t>
            </w:r>
          </w:p>
        </w:tc>
        <w:tc>
          <w:p/>
          <w:p>
            <w:pPr>
              <w:spacing w:after="0" w:before="0" w:lineRule="auto" w:line="276"/>
              <w:jc w:val="left"/>
            </w:pPr>
            <w:r>
              <w:rPr>
                <w:rFonts w:ascii="Times New Roman" w:hAnsi="Times New Roman" w:cs="Times New Roman" w:eastAsia="Times New Roman"/>
                <w:b w:val="false"/>
                <w:sz w:val="26"/>
              </w:rPr>
              <w:t>Nghị định 166/2016/NĐ-CP-Quy định về giao dịch điện tử trong lĩnh vực bảo hiểm xã hội, bảo hiểm y tế và bảo hiểm thất nghiệp</w:t>
            </w:r>
          </w:p>
        </w:tc>
        <w:tc>
          <w:p/>
          <w:p>
            <w:pPr>
              <w:spacing w:after="0" w:before="0" w:lineRule="auto" w:line="276"/>
              <w:jc w:val="left"/>
            </w:pPr>
            <w:r>
              <w:rPr>
                <w:rFonts w:ascii="Times New Roman" w:hAnsi="Times New Roman" w:cs="Times New Roman" w:eastAsia="Times New Roman"/>
                <w:b w:val="false"/>
                <w:sz w:val="26"/>
              </w:rPr>
              <w:t>24-12-2016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39/2016/NĐ-CP</w:t>
            </w:r>
          </w:p>
        </w:tc>
        <w:tc>
          <w:p/>
          <w:p>
            <w:pPr>
              <w:spacing w:after="0" w:before="0" w:lineRule="auto" w:line="276"/>
              <w:jc w:val="left"/>
            </w:pPr>
            <w:r>
              <w:rPr>
                <w:rFonts w:ascii="Times New Roman" w:hAnsi="Times New Roman" w:cs="Times New Roman" w:eastAsia="Times New Roman"/>
                <w:b w:val="false"/>
                <w:sz w:val="26"/>
              </w:rPr>
              <w:t>Quy định chi tiết thi hành một số điều của Luật An toàn, vệ sinh lao động</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01/2019/TT-BLĐTBXH</w:t>
            </w:r>
          </w:p>
        </w:tc>
        <w:tc>
          <w:p/>
          <w:p>
            <w:pPr>
              <w:spacing w:after="0" w:before="0" w:lineRule="auto" w:line="276"/>
              <w:jc w:val="left"/>
            </w:pPr>
            <w:r>
              <w:rPr>
                <w:rFonts w:ascii="Times New Roman" w:hAnsi="Times New Roman" w:cs="Times New Roman" w:eastAsia="Times New Roman"/>
                <w:b w:val="false"/>
                <w:sz w:val="26"/>
              </w:rPr>
              <w:t>Quy định về việc xác định mức độ khuyết tật do Hội đồng xác định mức độ khuyết tật thực hiện</w:t>
            </w:r>
          </w:p>
        </w:tc>
        <w:tc>
          <w:p/>
          <w:p>
            <w:pPr>
              <w:spacing w:after="0" w:before="0" w:lineRule="auto" w:line="276"/>
              <w:jc w:val="left"/>
            </w:pPr>
            <w:r>
              <w:rPr>
                <w:rFonts w:ascii="Times New Roman" w:hAnsi="Times New Roman" w:cs="Times New Roman" w:eastAsia="Times New Roman"/>
                <w:b w:val="false"/>
                <w:sz w:val="26"/>
              </w:rPr>
              <w:t>02-01-2019</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88/2020/NĐ-CP</w:t>
            </w:r>
          </w:p>
        </w:tc>
        <w:tc>
          <w:p/>
          <w:p>
            <w:pPr>
              <w:spacing w:after="0" w:before="0" w:lineRule="auto" w:line="276"/>
              <w:jc w:val="left"/>
            </w:pPr>
            <w:r>
              <w:rPr>
                <w:rFonts w:ascii="Times New Roman" w:hAnsi="Times New Roman" w:cs="Times New Roman" w:eastAsia="Times New Roman"/>
                <w:b w:val="false"/>
                <w:sz w:val="26"/>
              </w:rPr>
              <w:t>Nghị định 88/2020/NĐ-CP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136/2020/TT-BQP</w:t>
            </w:r>
          </w:p>
        </w:tc>
        <w:tc>
          <w:p/>
          <w:p>
            <w:pPr>
              <w:spacing w:after="0" w:before="0" w:lineRule="auto" w:line="276"/>
              <w:jc w:val="left"/>
            </w:pPr>
            <w:r>
              <w:rPr>
                <w:rFonts w:ascii="Times New Roman" w:hAnsi="Times New Roman" w:cs="Times New Roman" w:eastAsia="Times New Roman"/>
                <w:b w:val="false"/>
                <w:sz w:val="26"/>
              </w:rPr>
              <w:t>Thông tư 136/2020/TT-BQP</w:t>
            </w:r>
          </w:p>
        </w:tc>
        <w:tc>
          <w:p/>
          <w:p>
            <w:pPr>
              <w:spacing w:after="0" w:before="0" w:lineRule="auto" w:line="276"/>
              <w:jc w:val="left"/>
            </w:pPr>
            <w:r>
              <w:rPr>
                <w:rFonts w:ascii="Times New Roman" w:hAnsi="Times New Roman" w:cs="Times New Roman" w:eastAsia="Times New Roman"/>
                <w:b w:val="false"/>
                <w:sz w:val="26"/>
              </w:rPr>
              <w:t>29-10-2020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hưởng trợ cấp mai táng: Điều 66, 80 Luật BHXH; Điều 53 Luật An toàn vệ sinh lao động; Điều 12, 13 Nghị định số 115/2015/NĐ-CP; Điều 8 Nghị định số 134/2015/NĐ-CP; Điều 24, 38 Thông tư số 59/2015/TT-BLĐTBXH; khoản 2 Điều 7 Thông tư số 01/2016/TT-BLĐTBXH; Khoản 5 Điều 17 Thông tư số 105/2016/TTLT-BQP-BCA-BLĐTBXH; Khoản 1 Điều 2 QĐ 250/QĐ-TTg.
2. Điều kiện hưởng trợ cấp tuất hàng tháng: Điều 67 Luật BHXH; khoản 4 Điều 12, Điều 13, Khoản 1 Điều 14 Nghị định số 115/2015/NĐ-CP; Khoản 3 Điều 8 Nghị định số 134/2015/NĐ-CP;  Điều 25 Thông tư số 59/2015/TT-BLĐTBXH; Khoản 5 Điều 17 Thông tư số 105/2016/TTLT-BQP-BCA-BLĐTBXH.
3. Điều kiện hưởng trợ cấp tuất một lần: Điều 69, 81 Luật BHXH; Khoản 5 Điều 12, Điều 13, khoản 2 điều 14 Nghị định số 115/2015/NĐ-CP; khoản 4,5 Nghị định số 134/2015/NĐ-CP; điều 27 Thông tư số 59/2015/TT-BLĐTBXH; khoản 4 Điều 7 Thông tư số 01/2016/TT-BLĐTBXH; Khoản 5 Điều 17 Thông tư số 105/2016/TTLT-BQP-BCA-BLĐTBXH.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2025-11-27T16:43:14Z</dcterms:created>
  <dc:creator>Apache POI</dc:creator>
</cp:coreProperties>
</file>