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2.000827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2871/QĐ-NHNN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phép thành lập Văn phòng đại diện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Tổ chức tín dụng nước ngoài, tổ chức nước ngoài khác có hoạt động ngân hàng lập hồ sơ đề nghị cấp Giấy phép theo quy định gửi Ngân hàng Nhà nước Khu vực nơi văn phòng đại diện nước ngoài dự kiến đặt trụ sở.  
+  Bước 2: Trong thời hạn 30 ngày kể từ ngày nhận được hồ sơ đề nghị cấp Giấy phép, Ngân hàng Nhà nước chi nhánh có văn bản gửi tổ chức tín dụng nước ngoài, tổ chức nước ngoài khác có hoạt động ngân hàng xác nhận đã nhận đầy đủ hồ sơ hợp lệ. Trường hợp hồ sơ đề nghị cấp Giấy phép chưa đầy đủ, hợp lệ theo quy định, Ngân hàng Nhà nước Khu vực có văn bản gửi tổ chức tín dụng nước ngoài, tổ chức nước ngoài khác có hoạt động ngân hàng yêu cầu bổ sung hồ sơ. 
+ Bước 3: Trong thời hạn 60 ngày, kể từ ngày gửi văn bản xác nhận đã nhận đầy đủ hồ sơ hợp lệ, Ngân hàng Nhà nước Khu vực tiến hành cấp Giấy phép theo quy định. Trường hợp không cấp Giấy phép, Ngân hàng Nhà nước Khu vực có văn bản trả lời tổ chức tín dụng nước ngoài, tổ chức nước ngoài khác có hoạt động ngân hàng, trong đó nêu rõ lý do không cấp Giấy phép.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60 Ngày</w:t>
            </w:r>
          </w:p>
        </w:tc>
        <w:tc>
          <w:p/>
          <w:p>
            <w:pPr>
              <w:spacing w:after="0" w:before="0" w:lineRule="auto" w:line="276"/>
              <w:jc w:val="left"/>
            </w:pPr>
            <w:r>
              <w:rPr>
                <w:rFonts w:ascii="Times New Roman" w:hAnsi="Times New Roman" w:cs="Times New Roman" w:eastAsia="Times New Roman"/>
                <w:b w:val="false"/>
                <w:sz w:val="26"/>
              </w:rPr>
              <w:t>Lệ phí : 1.000.000 Đồng</w:t>
            </w:r>
          </w:p>
        </w:tc>
        <w:tc>
          <w:p/>
          <w:p>
            <w:pPr>
              <w:spacing w:after="0" w:before="0" w:lineRule="auto" w:line="276"/>
              <w:jc w:val="left"/>
            </w:pPr>
            <w:r>
              <w:rPr>
                <w:rFonts w:ascii="Times New Roman" w:hAnsi="Times New Roman" w:cs="Times New Roman" w:eastAsia="Times New Roman"/>
                <w:b w:val="false"/>
                <w:sz w:val="26"/>
              </w:rPr>
              <w:t>
60 ngày kể từ ngày nhận đầy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60 Ngày</w:t>
            </w:r>
          </w:p>
        </w:tc>
        <w:tc>
          <w:p/>
          <w:p>
            <w:pPr>
              <w:spacing w:after="0" w:before="0" w:lineRule="auto" w:line="276"/>
              <w:jc w:val="left"/>
            </w:pPr>
            <w:r>
              <w:rPr>
                <w:rFonts w:ascii="Times New Roman" w:hAnsi="Times New Roman" w:cs="Times New Roman" w:eastAsia="Times New Roman"/>
                <w:b w:val="false"/>
                <w:sz w:val="26"/>
              </w:rPr>
              <w:t>Lệ phí : 1000000 Đồng</w:t>
            </w:r>
          </w:p>
        </w:tc>
        <w:tc>
          <w:p/>
          <w:p>
            <w:pPr>
              <w:spacing w:after="0" w:before="0" w:lineRule="auto" w:line="276"/>
              <w:jc w:val="left"/>
            </w:pPr>
            <w:r>
              <w:rPr>
                <w:rFonts w:ascii="Times New Roman" w:hAnsi="Times New Roman" w:cs="Times New Roman" w:eastAsia="Times New Roman"/>
                <w:b w:val="false"/>
                <w:sz w:val="26"/>
              </w:rPr>
              <w:t>60 ngày kể từ ngày nhận đầy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60 Ngày</w:t>
            </w:r>
          </w:p>
        </w:tc>
        <w:tc>
          <w:p/>
          <w:p>
            <w:pPr>
              <w:spacing w:after="0" w:before="0" w:lineRule="auto" w:line="276"/>
              <w:jc w:val="left"/>
            </w:pPr>
            <w:r>
              <w:rPr>
                <w:rFonts w:ascii="Times New Roman" w:hAnsi="Times New Roman" w:cs="Times New Roman" w:eastAsia="Times New Roman"/>
                <w:b w:val="false"/>
                <w:sz w:val="26"/>
              </w:rPr>
              <w:t>Lệ phí : 1.000.000 Đồng</w:t>
            </w:r>
          </w:p>
        </w:tc>
        <w:tc>
          <w:p/>
          <w:p>
            <w:pPr>
              <w:spacing w:after="0" w:before="0" w:lineRule="auto" w:line="276"/>
              <w:jc w:val="left"/>
            </w:pPr>
            <w:r>
              <w:rPr>
                <w:rFonts w:ascii="Times New Roman" w:hAnsi="Times New Roman" w:cs="Times New Roman" w:eastAsia="Times New Roman"/>
                <w:b w:val="false"/>
                <w:sz w:val="26"/>
              </w:rPr>
              <w:t>
60 ngày kể từ ngày nhận đầy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Đơn đề nghị cấp Giấy phép thành lập văn phòng đại diện do người đại diện theo pháp luật của tổ chức tín dụng nước ngoài, tổ chức nước ngoài khác có hoạt động ngân hàng ký theo mẫu quy định tại Phụ lục số 06 ban hành kèm theo Thông tư số 56/2024/TT-NHNN</w:t>
            </w:r>
          </w:p>
        </w:tc>
        <w:tc>
          <w:p/>
          <w:p>
            <w:pPr>
              <w:spacing w:after="0" w:before="0" w:lineRule="auto" w:line="276"/>
              <w:jc w:val="left"/>
            </w:pPr>
            <w:r>
              <w:rPr>
                <w:rFonts w:ascii="Times New Roman" w:hAnsi="Times New Roman" w:cs="Times New Roman" w:eastAsia="Times New Roman"/>
                <w:b w:val="false"/>
                <w:sz w:val="26"/>
              </w:rPr>
              <w:t>Phlc06.docx</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Giấy phép hoạt động hoặc văn bản tương đương do cơ quan có thẩm quyền của nước nơi tổ chức tín dụng nước ngoài, tổ chức nước ngoài khác có hoạt động ngân hàng đặt trụ sở chính cấp cho tổ chức tín dụng nước ngoài, tổ chức nước ngoài khác có hoạt động ngân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3. Văn bản của cơ quan có thẩm quyền của nước nơi tổ chức tín dụng nước ngoài, tổ chức nước ngoài khác có hoạt động ngân hàng đặt trụ sở chính cung cấp thông tin về tình hình tuân thủ pháp luật của tổ chức tín dụng nước ngoài, tổ chức nước ngoài khác có hoạt động ngân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4. Văn bản của cơ quan có thẩm quyền của nước nơi tổ chức tín dụng nước ngoài, tổ chức nước ngoài khác có hoạt động ngân hàng đặt trụ sở chính cho phép tổ chức tín dụng nước ngoài, tổ chức nước ngoài khác có hoạt động ngân hàng thành lập Văn phòng đại diện nước ngoài tại Việt Nam; trường hợp quy định của nước nơi tổ chức tín dụng nước ngoài, tổ chức nước ngoài khác có hoạt động ngân hàng đặt trụ sở chính không yêu cầu phải có văn bản cho phép thì phải có bằng chứng chứng minh việc này.</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5. Báo cáo quá trình thành lập, hoạt động của tổ chức tín dụng, tổ chức nước ngoài khác có hoạt động ngân hàng cho đến thời điểm nộp hồ sơ đề nghị cấp Giấy phép và định hướng phát triển của tổ chức tín dụng nước ngoài, tổ chức nước ngoài khác có hoạt động ngân hàng tại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6. Báo cáo tài chính năm liền kề năm nộp hồ sơ đề nghị cấp Giấy phép đã được kiểm toán của tổ chức tín dụng, tổ chức nước ngoài khác có hoạt động ngân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7. Tài liệu chứng minh năng lực của Trưởng Văn phòng đại diện nước ngoài dự kiến: a) Sơ yếu lý lịch của Trưởng Văn phòng đại diện nước ngoài dự kiến theo mẫu quy định tại Phụ lục số 07 ban hành kèm theo Thông tư số 56/2024/TT-NHNN có xác nhận của có xác nhận của tổ chức tín dụng nước ngoài, tổ chức nước ngoài khác có hoạt động ngân hàng;  Việc xác nhận Sơ yếu lý lịch của tổ chức, cá nhân (đối với người có quốc tịch Việt Nam) được thực hiện trên cơ sở khai thác dữ liệu cư trú của công dân trên Cơ sở dữ liệu quốc gia về dân cư hoặc kiểm tra ứng dụng VNeID theo hướng dẫn của Bộ Công an, không yêu cầu tổ chức, cá nhân nộp, xuất trình số hộ khẩu, số tạm trú giấy theo đúng quy định tại Điều 14 Nghị định số 104/2022/ND-CP của Chính phủ. b) Phiếu lý lịch tư pháp: (i) Đối với nhân sự dự kiến có quốc tịch Việt Nam: Phiếu lý lịch tư pháp do cơ quan quản lý cơ sở dữ liệu lý lịch tư pháp cấp, trong đó phải có đầy đủ thông tin về tình trạng án tích (bao gồm án tích đã được xóa và án tích chưa được xóa) và thông tin về việc cấm đảm nhiệm chức vụ, thành lập, quản lý doanh nghiệp, hợp tác xã; (ii) Đối với nhân sự dự kiến không có quốc tịch Việt Nam: Phiếu lý lịch tư pháp hoặc văn bản có giá trị tương đương (có đầy đủ thông tin về tình trạng án tích; thông tin về việc cấm đảm nhiệm chức vụ, thành lập, quản lý doanh nghiệp, hợp tác xã) phải được cơ quan có thẩm quyền của Việt Nam hoặc cơ quan có thẩm quyền của nước ngoài cấp theo quy định. Trường hợp phiếu lý lịch tư pháp hoặc văn bản có giá trị tương đương do cơ quan có thẩm quyền nước ngoài cấp không có thông tin về việc cấm đảm nhiệm chức vụ, thành lập, quản lý doanh nghiệp, hợp tác xã thì Trưởng Ban trù bị phải có văn bản giải trình về việc không có cơ quan có thẩm quyền của nước cấp lý lịch tư pháp hoặc văn bản có giá trị tương đương cung cấp thông tin này và cam kết chịu trách nhiệm trước pháp luật về việc nhân sự bộ máy quản trị, kiểm soát, điều hành dự kiến không thuộc các trường hợp không được đảm nhiệm chức vụ, thành lập, quản lý doanh nghiệp, hợp tác xã theo quy định tại Luật Các tổ chức tín dụng;  (iii) Phiếu lý lịch tư pháp hoặc văn bản có giá trị tương đương quy định tại điểm b(i) và b(ii) phải được cơ quan có thẩm quyền cấp trước thời điểm tổ chức tín dụng phi ngân hàng nộp hồ sơ đề nghị cấp Giấy phép không quá 06 tháng; Nhân sự dự kiến bầu, bổ nhiệm được xuất trình Phiếu lý lịch tư pháp bản điện tử đã được cấp trên ứng dụng định danh và xác thực điện tử VNeID hoặc nộp Phiếu lý lịch tư pháp bản điện tử theo quy định của pháp luật (có đầy đủ thông tin về tình trạng án tích; thông tin về việc cấm đảm nhiệm chức vụ, thành lập, quản lý doanh nghiệp, hợp tác xã); c) Các văn bằng, chứng chỉ chứng minh năng lực, trình độ chuyên môn của Trưởng Văn phòng đại diện nước ngoài dự kiến tại Việt Nam.</w:t>
            </w:r>
          </w:p>
        </w:tc>
        <w:tc>
          <w:p/>
          <w:p>
            <w:pPr>
              <w:spacing w:after="0" w:before="0" w:lineRule="auto" w:line="276"/>
              <w:jc w:val="left"/>
            </w:pPr>
            <w:r>
              <w:rPr>
                <w:rFonts w:ascii="Times New Roman" w:hAnsi="Times New Roman" w:cs="Times New Roman" w:eastAsia="Times New Roman"/>
                <w:b w:val="false"/>
                <w:sz w:val="26"/>
              </w:rPr>
              <w:t>Phuluc07.docx</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8). Văn bản chứng minh quyền sử dụng hoặc sẽ có quyền sử dụng hợp pháp trụ sở của văn phòng đại diện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9. Danh mục tài liệu.</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các giấy tờ là bản sao mà không phải là bản sao có chứng thực, bản sao được cấp từ số gốc thì phải xuất trình kèm theo bản chính để đối chiếu, người đổi chiều chịu trách nhiệm về tính chính xác của bản sao so với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Khu vực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thành lập Văn phòng đại diện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150/2016/TT-BTC</w:t>
            </w:r>
          </w:p>
        </w:tc>
        <w:tc>
          <w:p/>
          <w:p>
            <w:pPr>
              <w:spacing w:after="0" w:before="0" w:lineRule="auto" w:line="276"/>
              <w:jc w:val="left"/>
            </w:pPr>
            <w:r>
              <w:rPr>
                <w:rFonts w:ascii="Times New Roman" w:hAnsi="Times New Roman" w:cs="Times New Roman" w:eastAsia="Times New Roman"/>
                <w:b w:val="false"/>
                <w:sz w:val="26"/>
              </w:rPr>
              <w:t>Thông tư 150/2016/TT-BTC</w:t>
            </w:r>
          </w:p>
        </w:tc>
        <w:tc>
          <w:p/>
          <w:p>
            <w:pPr>
              <w:spacing w:after="0" w:before="0" w:lineRule="auto" w:line="276"/>
              <w:jc w:val="left"/>
            </w:pPr>
            <w:r>
              <w:rPr>
                <w:rFonts w:ascii="Times New Roman" w:hAnsi="Times New Roman" w:cs="Times New Roman" w:eastAsia="Times New Roman"/>
                <w:b w:val="false"/>
                <w:sz w:val="26"/>
              </w:rPr>
              <w:t>14-10-2016</w:t>
            </w:r>
          </w:p>
        </w:tc>
        <w:tc>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Thông tư 56/2024/TT-NHNN</w:t>
            </w:r>
          </w:p>
        </w:tc>
        <w:tc>
          <w:p/>
          <w:p>
            <w:pPr>
              <w:spacing w:after="0" w:before="0" w:lineRule="auto" w:line="276"/>
              <w:jc w:val="left"/>
            </w:pPr>
            <w:r>
              <w:rPr>
                <w:rFonts w:ascii="Times New Roman" w:hAnsi="Times New Roman" w:cs="Times New Roman" w:eastAsia="Times New Roman"/>
                <w:b w:val="false"/>
                <w:sz w:val="26"/>
              </w:rPr>
              <w:t>quy định hồ sơ, thủ tục cấp Giấy phép lần đầu của ngân hàng thương mại, chi nhánh ngân hàng nước ngoài, văn phòng đại diện nước ngoài</w:t>
            </w:r>
          </w:p>
        </w:tc>
        <w:tc>
          <w:p/>
          <w:p>
            <w:pPr>
              <w:spacing w:after="0" w:before="0" w:lineRule="auto" w:line="276"/>
              <w:jc w:val="left"/>
            </w:pPr>
            <w:r>
              <w:rPr>
                <w:rFonts w:ascii="Times New Roman" w:hAnsi="Times New Roman" w:cs="Times New Roman" w:eastAsia="Times New Roman"/>
                <w:b w:val="false"/>
                <w:sz w:val="26"/>
              </w:rPr>
              <w:t>24-12-2024</w:t>
            </w:r>
          </w:p>
        </w:tc>
        <w:tc>
          <w:p/>
        </w:tc>
      </w:tr>
      <w:tr>
        <w:tc>
          <w:p/>
          <w:p>
            <w:pPr>
              <w:spacing w:after="0" w:before="0" w:lineRule="auto" w:line="276"/>
              <w:jc w:val="left"/>
            </w:pPr>
            <w:r>
              <w:rPr>
                <w:rFonts w:ascii="Times New Roman" w:hAnsi="Times New Roman" w:cs="Times New Roman" w:eastAsia="Times New Roman"/>
                <w:b w:val="false"/>
                <w:sz w:val="26"/>
              </w:rPr>
              <w:t>Thông tư số 12/2025/TT-NHNN</w:t>
            </w:r>
          </w:p>
        </w:tc>
        <w:tc>
          <w:p/>
          <w:p>
            <w:pPr>
              <w:spacing w:after="0" w:before="0" w:lineRule="auto" w:line="276"/>
              <w:jc w:val="left"/>
            </w:pPr>
            <w:r>
              <w:rPr>
                <w:rFonts w:ascii="Times New Roman" w:hAnsi="Times New Roman" w:cs="Times New Roman" w:eastAsia="Times New Roman"/>
                <w:b w:val="false"/>
                <w:sz w:val="26"/>
              </w:rPr>
              <w:t>Thông tư  Sửa đổi, bổ sung một số điều của các Thông tư quy định hồ sơ, thủ tục cấp Giấy phép lần đầu của ngân hàng thương mại, chi nhánh ngân hàng nước ngoài, văn phòng đại diện nước ngoài, tổ chức tín dụng phi ngân hàng</w:t>
            </w:r>
          </w:p>
        </w:tc>
        <w:tc>
          <w:p/>
          <w:p>
            <w:pPr>
              <w:spacing w:after="0" w:before="0" w:lineRule="auto" w:line="276"/>
              <w:jc w:val="left"/>
            </w:pPr>
            <w:r>
              <w:rPr>
                <w:rFonts w:ascii="Times New Roman" w:hAnsi="Times New Roman" w:cs="Times New Roman" w:eastAsia="Times New Roman"/>
                <w:b w:val="false"/>
                <w:sz w:val="26"/>
              </w:rPr>
              <w:t>30-06-2025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Tổ chức tín dụng nước ngoài, tổ chức nước ngoài khác có hoạt động ngân hàng là pháp nhân được phép hoạt động ngân hàng ở nước ngoài;
+ Quy định của pháp luật của nước nơi tổ chức tín dụng nước ngoài, tổ chức nước ngoài khác có hoạt động ngân hàng đặt trụ sở chính cho phép tổ chức tín dụng nước ngoài, tổ chức nước ngoài khác có hoạt động ngân hàng được phép thành lập văn phòng đại diện tại Việt Nam.</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 Số lượng hồ sơ: 02 bộ gốc (01 bộ bằng tiếng Việt và 01 bộ bằng tiếng Anh) trừ trường hợp Thông tư số 56/2024/TT-NHNN có quy định khác, trong đó:
a) Bộ hồ sơ tiếng Anh phải được hợp pháp hóa lãnh sự theo quy định của pháp luật, trừ các tài liệu sau đây:
(i) Văn bản của cơ quan có thẩm quyền của nước nơi tổ chức tín dụng nước ngoài đặt trụ sở chính gửi trực tiếp cho Ngân hàng Nhà nước;
(ii) Các báo cáo tài chính được lập trực tiếp bằng tiếng Anh.
b) Các bản dịch từ tiếng Anh ra tiếng Việt phải được chứng thực chữ ký của người dịch theo quy định về chứng thực của pháp luật Việt Nam;
c) Bản dịch các báo cáo tài chính phải được xác nhận của tổ chức, cá nhân được phép hành nghề dịch thuật theo quy định của pháp luật;
d) Các văn bản tiếng Việt là bản gốc (hoặc sao từ bản gốc tiếng Việt) được lập tại Việt Nam không cần phải dịch ra tiếng Anh.</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https://thutuc.dichvucong.gov.vn/p/home/dvc-tthc-thu-tuc-hanh-chinh-chi-tiet.html?ma_thu_tuc=2703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2025-11-27T16:43:29Z</dcterms:created>
  <dc:creator>Apache POI</dc:creator>
</cp:coreProperties>
</file>