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2.000835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2871/QĐ-NHNN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đề nghị cấp Giấy phép thành lập chi nhánh ngân hàng nước ngoài sau khi chấp thuận nguyên tắc.</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Trong thời hạn 60 ngày kể từ ngày nhận được văn bản chấp thuận nguyên tắc thành lập chi nhánh ngân hàng nước ngoài, Ban trù bị lập các văn bản bổ sung theo quy định tại khoản 14 Điều 14 Thông tư số 56/2014/TT-NHNN và gửi Ngân hàng Nhà nước. Quá thời hạn nêu trên, Ngân hàng Nhà nước không nhận được hoặc nhận được không đầy đủ các văn bản bổ sung thì văn bản chấp thuận nguyên tắc đương nhiên không còn giá trị.
- Bước 2: Trong thời hạn 05 ngày làm việc kể từ ngày nhận được đầy đủ các văn bản bổ sung, Ngân hàng Nhà nước xác nhận bằng văn bản về việc đã nhận đầy đủ văn bản bổ sung.
- Bước 3: Trong thời hạn 30 ngày kể từ ngày nhận đầy đủ các văn bản bổ sung, Ngân hàng Nhà nước tiến hành cấp Giấy phép theo quy định. Trường hợp không cấp Giấy phép, Ngân hàng Nhà nước có văn bản trả lời Ban trù bị, trong đó nêu rõ lý do không cấp Giấy phép.</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t>Lệ phí : 1.000.000 Đồng</w:t>
            </w:r>
          </w:p>
        </w:tc>
        <w:tc>
          <w:p/>
          <w:p>
            <w:pPr>
              <w:spacing w:after="0" w:before="0" w:lineRule="auto" w:line="276"/>
              <w:jc w:val="left"/>
            </w:pPr>
            <w:r>
              <w:rPr>
                <w:rFonts w:ascii="Times New Roman" w:hAnsi="Times New Roman" w:cs="Times New Roman" w:eastAsia="Times New Roman"/>
                <w:b w:val="false"/>
                <w:sz w:val="26"/>
              </w:rPr>
              <w:t>kể từ ngày nhận đầy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t>Lệ phí : 1.000.000 Đồng</w:t>
            </w:r>
          </w:p>
        </w:tc>
        <w:tc>
          <w:p/>
          <w:p>
            <w:pPr>
              <w:spacing w:after="0" w:before="0" w:lineRule="auto" w:line="276"/>
              <w:jc w:val="left"/>
            </w:pPr>
            <w:r>
              <w:rPr>
                <w:rFonts w:ascii="Times New Roman" w:hAnsi="Times New Roman" w:cs="Times New Roman" w:eastAsia="Times New Roman"/>
                <w:b w:val="false"/>
                <w:sz w:val="26"/>
              </w:rPr>
              <w:t>kể từ ngày nhận đầy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t>Lệ phí : 1.000.000 Đồng</w:t>
            </w:r>
          </w:p>
        </w:tc>
        <w:tc>
          <w:p/>
          <w:p>
            <w:pPr>
              <w:spacing w:after="0" w:before="0" w:lineRule="auto" w:line="276"/>
              <w:jc w:val="left"/>
            </w:pPr>
            <w:r>
              <w:rPr>
                <w:rFonts w:ascii="Times New Roman" w:hAnsi="Times New Roman" w:cs="Times New Roman" w:eastAsia="Times New Roman"/>
                <w:b w:val="false"/>
                <w:sz w:val="26"/>
              </w:rPr>
              <w:t>kể từ ngày nhận đầy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Sau khi nhận được văn bản chấp thuận nguyên tắc, Ban trù bị phải bổ sung các văn bản sau</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Văn bản bổ nhiệm Tổng giám đốc (Giám đốc) của chi nhánh ngân hàng nước ngoài do đại diện theo pháp luật của ngân hàng mẹ ký;</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Văn bản chứng minh quyền sử dụng hợp pháp trụ sở của chi nhánh ngân hàng nước ngoài;</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Các quy định nội bộ về tổ chức và hoạt động của chi nhánh ngân hàng nước ngoài quy định tại điểm g khoản 2 Điều 14 Thông tư số 56/2024/TT-NHNN được ngân hàng mẹ thông qua;</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Văn bản của Cơ quan có thẩm quyền của nước nơi tổ chức tín dụng nước ngoài đặt trụ sở chính đánh giá ngân hàng mẹ đáp ứng các điều kiện theo quy định của Luật Các tổ chức tín dụng và các văn bản hướng dẫn từ thời điểm nộp hồ sơ đề nghị cấp Giấy phép đến thời điểm nộp bổ sung văn bản;</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e) Các văn bản khác có liên quan đến cấp Giấy phép. - Danh mục tài liệu. Trường hợp các giấy tờ là bản sao mà không phải là bản sao có chứng thực, bản sao được cấp từ số gốc thì phải xuất trình kèm theo bản chính để đối chiếu, người đổi chiều chịu trách nhiệm về tính chính xác của bản sao so với bản chính.</w:t>
            </w:r>
          </w:p>
        </w:tc>
        <w:tc>
          <w:p/>
        </w:tc>
        <w:tc>
          <w:p/>
          <w:p>
            <w:pPr>
              <w:spacing w:after="0" w:before="0" w:lineRule="auto" w:line="276"/>
              <w:jc w:val="left"/>
            </w:pPr>
            <w:r>
              <w:rPr>
                <w:rFonts w:ascii="Times New Roman" w:hAnsi="Times New Roman" w:cs="Times New Roman" w:eastAsia="Times New Roman"/>
                <w:b w:val="false"/>
                <w:sz w:val="26"/>
              </w:rPr>
              <w:t xml:space="preserve">Bản chính: </w:t>
              <w:t>2</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phép thành lập chi nhánh ngân hàng nước ngoài</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150/2016/TT-BTC</w:t>
            </w:r>
          </w:p>
        </w:tc>
        <w:tc>
          <w:p/>
          <w:p>
            <w:pPr>
              <w:spacing w:after="0" w:before="0" w:lineRule="auto" w:line="276"/>
              <w:jc w:val="left"/>
            </w:pPr>
            <w:r>
              <w:rPr>
                <w:rFonts w:ascii="Times New Roman" w:hAnsi="Times New Roman" w:cs="Times New Roman" w:eastAsia="Times New Roman"/>
                <w:b w:val="false"/>
                <w:sz w:val="26"/>
              </w:rPr>
              <w:t>Quy định mức thu, chế độ thu, nộp lệ phí cấp giấy phép thành lập và hoạt động của tổ chức tín dụng; giấy phép thành lập chi nhánh ngân hàng nước ngoài, văn phòng đại diện của tổ chức tín dụng nước ngoài, tổ chức nước ngoài khác có hoạt động ngân hàng; giấy phép hoạt động cung ứng dịch vụ trung gian thanh toán cho các tổ chức không phải là ngân hàng</w:t>
            </w:r>
          </w:p>
        </w:tc>
        <w:tc>
          <w:p/>
          <w:p>
            <w:pPr>
              <w:spacing w:after="0" w:before="0" w:lineRule="auto" w:line="276"/>
              <w:jc w:val="left"/>
            </w:pPr>
            <w:r>
              <w:rPr>
                <w:rFonts w:ascii="Times New Roman" w:hAnsi="Times New Roman" w:cs="Times New Roman" w:eastAsia="Times New Roman"/>
                <w:b w:val="false"/>
                <w:sz w:val="26"/>
              </w:rPr>
              <w:t>14-10-2016</w:t>
            </w:r>
          </w:p>
        </w:tc>
        <w:tc>
          <w:p/>
          <w:p>
            <w:pPr>
              <w:spacing w:after="0" w:before="0" w:lineRule="auto" w:line="276"/>
              <w:jc w:val="left"/>
            </w:pPr>
            <w:r>
              <w:rPr>
                <w:rFonts w:ascii="Times New Roman" w:hAnsi="Times New Roman" w:cs="Times New Roman" w:eastAsia="Times New Roman"/>
                <w:b w:val="false"/>
                <w:sz w:val="26"/>
              </w:rPr>
              <w:t>Bộ Tài chính</w:t>
            </w:r>
          </w:p>
        </w:tc>
      </w:tr>
      <w:tr>
        <w:tc>
          <w:p/>
          <w:p>
            <w:pPr>
              <w:spacing w:after="0" w:before="0" w:lineRule="auto" w:line="276"/>
              <w:jc w:val="left"/>
            </w:pPr>
            <w:r>
              <w:rPr>
                <w:rFonts w:ascii="Times New Roman" w:hAnsi="Times New Roman" w:cs="Times New Roman" w:eastAsia="Times New Roman"/>
                <w:b w:val="false"/>
                <w:sz w:val="26"/>
              </w:rPr>
              <w:t>Luật số 32/2024/QH15</w:t>
            </w:r>
          </w:p>
        </w:tc>
        <w:tc>
          <w:p/>
          <w:p>
            <w:pPr>
              <w:spacing w:after="0" w:before="0" w:lineRule="auto" w:line="276"/>
              <w:jc w:val="left"/>
            </w:pPr>
            <w:r>
              <w:rPr>
                <w:rFonts w:ascii="Times New Roman" w:hAnsi="Times New Roman" w:cs="Times New Roman" w:eastAsia="Times New Roman"/>
                <w:b w:val="false"/>
                <w:sz w:val="26"/>
              </w:rPr>
              <w:t>Luật Các tổ chức tín dụng</w:t>
            </w:r>
          </w:p>
        </w:tc>
        <w:tc>
          <w:p/>
          <w:p>
            <w:pPr>
              <w:spacing w:after="0" w:before="0" w:lineRule="auto" w:line="276"/>
              <w:jc w:val="left"/>
            </w:pPr>
            <w:r>
              <w:rPr>
                <w:rFonts w:ascii="Times New Roman" w:hAnsi="Times New Roman" w:cs="Times New Roman" w:eastAsia="Times New Roman"/>
                <w:b w:val="false"/>
                <w:sz w:val="26"/>
              </w:rPr>
              <w:t>18-01-2024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Thông tư 56/2024/TT-NHNN</w:t>
            </w:r>
          </w:p>
        </w:tc>
        <w:tc>
          <w:p/>
          <w:p>
            <w:pPr>
              <w:spacing w:after="0" w:before="0" w:lineRule="auto" w:line="276"/>
              <w:jc w:val="left"/>
            </w:pPr>
            <w:r>
              <w:rPr>
                <w:rFonts w:ascii="Times New Roman" w:hAnsi="Times New Roman" w:cs="Times New Roman" w:eastAsia="Times New Roman"/>
                <w:b w:val="false"/>
                <w:sz w:val="26"/>
              </w:rPr>
              <w:t>quy định hồ sơ, thủ tục cấp Giấy phép lần đầu của ngân hàng thương mại, chi nhánh ngân hàng nước ngoài, văn phòng đại diện nước ngoài</w:t>
            </w:r>
          </w:p>
        </w:tc>
        <w:tc>
          <w:p/>
          <w:p>
            <w:pPr>
              <w:spacing w:after="0" w:before="0" w:lineRule="auto" w:line="276"/>
              <w:jc w:val="left"/>
            </w:pPr>
            <w:r>
              <w:rPr>
                <w:rFonts w:ascii="Times New Roman" w:hAnsi="Times New Roman" w:cs="Times New Roman" w:eastAsia="Times New Roman"/>
                <w:b w:val="false"/>
                <w:sz w:val="26"/>
              </w:rPr>
              <w:t>24-12-2024</w:t>
            </w:r>
          </w:p>
        </w:tc>
        <w:tc>
          <w:p/>
        </w:tc>
      </w:tr>
      <w:tr>
        <w:tc>
          <w:p/>
          <w:p>
            <w:pPr>
              <w:spacing w:after="0" w:before="0" w:lineRule="auto" w:line="276"/>
              <w:jc w:val="left"/>
            </w:pPr>
            <w:r>
              <w:rPr>
                <w:rFonts w:ascii="Times New Roman" w:hAnsi="Times New Roman" w:cs="Times New Roman" w:eastAsia="Times New Roman"/>
                <w:b w:val="false"/>
                <w:sz w:val="26"/>
              </w:rPr>
              <w:t>Nghị định 162/2024/NĐ-CP</w:t>
            </w:r>
          </w:p>
        </w:tc>
        <w:tc>
          <w:p/>
          <w:p>
            <w:pPr>
              <w:spacing w:after="0" w:before="0" w:lineRule="auto" w:line="276"/>
              <w:jc w:val="left"/>
            </w:pPr>
            <w:r>
              <w:rPr>
                <w:rFonts w:ascii="Times New Roman" w:hAnsi="Times New Roman" w:cs="Times New Roman" w:eastAsia="Times New Roman"/>
                <w:b w:val="false"/>
                <w:sz w:val="26"/>
              </w:rPr>
              <w:t>Nghị định quy định điều kiện cấp Giấy phép đối với quỹ tín dụng nhân dân, tổ chức tài chính vi mô và điều kiện đối với chủ sở hữu của tổ chức tín dụng là công ty trách nhiệm hữu hạn một thành viên, cổ đông sáng lập, thành viên sáng lập.</w:t>
            </w:r>
          </w:p>
        </w:tc>
        <w:tc>
          <w:p/>
          <w:p>
            <w:pPr>
              <w:spacing w:after="0" w:before="0" w:lineRule="auto" w:line="276"/>
              <w:jc w:val="left"/>
            </w:pPr>
            <w:r>
              <w:rPr>
                <w:rFonts w:ascii="Times New Roman" w:hAnsi="Times New Roman" w:cs="Times New Roman" w:eastAsia="Times New Roman"/>
                <w:b w:val="false"/>
                <w:sz w:val="26"/>
              </w:rPr>
              <w:t>20-12-2024</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Thông tư số 12/2025/TT-NHNN</w:t>
            </w:r>
          </w:p>
        </w:tc>
        <w:tc>
          <w:p/>
          <w:p>
            <w:pPr>
              <w:spacing w:after="0" w:before="0" w:lineRule="auto" w:line="276"/>
              <w:jc w:val="left"/>
            </w:pPr>
            <w:r>
              <w:rPr>
                <w:rFonts w:ascii="Times New Roman" w:hAnsi="Times New Roman" w:cs="Times New Roman" w:eastAsia="Times New Roman"/>
                <w:b w:val="false"/>
                <w:sz w:val="26"/>
              </w:rPr>
              <w:t>Thông tư  Sửa đổi, bổ sung một số điều của các Thông tư quy định hồ sơ, thủ tục cấp Giấy phép lần đầu của ngân hàng thương mại, chi nhánh ngân hàng nước ngoài, văn phòng đại diện nước ngoài, tổ chức tín dụng phi ngân hàng</w:t>
            </w:r>
          </w:p>
        </w:tc>
        <w:tc>
          <w:p/>
          <w:p>
            <w:pPr>
              <w:spacing w:after="0" w:before="0" w:lineRule="auto" w:line="276"/>
              <w:jc w:val="left"/>
            </w:pPr>
            <w:r>
              <w:rPr>
                <w:rFonts w:ascii="Times New Roman" w:hAnsi="Times New Roman" w:cs="Times New Roman" w:eastAsia="Times New Roman"/>
                <w:b w:val="false"/>
                <w:sz w:val="26"/>
              </w:rPr>
              <w:t>30-06-2025</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Có vốn điều lệ, vốn được cấp tối thiểu bằng mức vốn pháp định;
- Người quản lý, người điều hành, thành viên Ban kiểm soát có đủ các tiêu chuẩn, điều kiện theo quy định tại Điều 41 của Luật các tổ chức tín dụng;
- Chủ sở hữu là pháp nhân đang hoạt động hợp pháp và có đủ năng lực tài chính.
 - Có đề án thành lập, phương án kinh doanh khả thi, không gây ảnh hưởng đến sự an toàn, ổn định của hệ thống tổ chức tín dụng; không tạo ra sự độc quyền hoặc hạn chế cạnh tranh hoặc cạnh tranh không lành mạnh trong hệ thống tổ chức tín dụng.
- Tổ chức tín dụng nước ngoài được phép thực hiện hoạt động ngân hàng theo quy định của pháp luật của nước nơi tổ chức tín dụng nước ngoài đặt trụ sở chính;
- Hoạt động dự kiến thực hiện tại Việt Nam phải là hoạt động mà tổ chức tín dụng nước ngoài đang được phép thực hiện tại nước nơi tổ chức tín dụng nước ngoài đặt trụ sở chính;
- Tổ chức tín dụng nước ngoài đáp ứng các điều kiện về tổng tài sản có và tình hình tài chính theo quy định của Thống đốc Ngân hàng Nhà nước, đáp ứng các quy định về bảo đảm an toàn hoạt động theo quy định của nước nơi tổ chức tín dụng nước ngoài đặt trụ sở chính.
- Cơ quan có thẩm quyền của nước nơi tổ chức tín dụng nước ngoài đặt trụ sở chính đã ký kết thỏa thuận với Ngân hàng Nhà nước về thanh tra, giám sát hoạt động ngân hàng, trao đổi thông tin giám sát an toàn ngân hàng và có văn bản cam kết giám sát hợp nhất theo thông lệ quốc tế đối với hoạt động của tổ chức tín dụng nước ngoài.
- Ngân hàng nước ngoài phải có văn bản bảo đảm chịu trách nhiệm về mọi nghĩa vụ và cam kết của chi nhánh ngân hàng nước ngoài tại Việt Nam; bảo đảm duy trì giá trị thực của vốn được cấp không thấp hơn mức vốn pháp định và thực hiện các quy định về hạn chế để bảo đảm an toàn trong hoạt động theo quy định của Luật này;
- Trường hợp đề nghị thành lập chi nhánh ngân hàng nước ngoài thứ hai trở lên tại Việt Nam, ngân hàng nước ngoài phải bảo đảm chi nhánh ngân hàng nước ngoài đang hoạt động tại Việt Nam trong 03 năm liền kề trước năm đề nghị thành lập chi nhánh mới không vi phạm quy định của pháp luật, các tỷ lệ bảo đảm an toàn và có kết quả kinh doanh có lãi.
* Điều kiện về tổng tài sản có và tình hình tài chính đối với tổ chức tín dụng nước ngoài khi đề nghị cấp Giấy phép thành lập chi nhánh ngân hàng nước ngoài:
+ Có tổng tài sản có ít nhất tương đương 20 tỷ đô la Mỹ vào cuối năm liền kề trước năm nộp hồ sơ đề nghị cấp Giấy phép và đến thời điểm nộp hồ sơ bổ sung đề nghị cấp Giấy phép;
+ Kinh doanh có lãi trong 05 năm liên tiếp liền kề trước năm nộp hồ sơ đề nghị cấp Giấy phép và đến thời điểm nộp hồ sơ bổ sung đề nghị cấp Giấy phép.
* Điều kiện đối với ngân hàng mẹ:
+ Không vi phạm nghiêm trọng các quy định về hoạt động ngân hàng và các quy định pháp luật khác của nước nơi tổ chức tín dụng đặt trụ sở chính trong vòng 05 năm liên tiếp liền kề trước năm nộp hồ sơ đề nghị cấp Giấy phép và đến thời điểm nộp hồ sơ bổ sung để được xem xét cấp Giấy phép.
+ Có kinh nghiệm hoạt động quốc tế, được các tổ chức xếp hạng tín nhiệm quốc tế xếp hạng như sau:
Thứ hạng tín nhiệm từ mức AA- trở lên (theo Standard &amp; Poor’s hoặc Fitch Ratings) hoặc từ mức Aa3 trở lên (theo Moody’s) đến thời điểm gần nhất tính từ thời điểm nộp hồ sơ đề nghị cấp Giấy phép. Trường hợp tổ chức xếp hạng tín nhiệm quốc tế có thang thứ hạng tín nhiệm khác thang thứ hạng tín nhiệm của Standard &amp; Poor’s hoặc Moody’s hoặc Fitch Ratings thì mức xếp hạng tín nhiệm không thấp hơn mức xếp hạng tương ứng của Standard &amp; Poor’s hoặc Moody’s hoặc Fitch Ratings;
Triển vọng của thứ hạng tín nhiệm quy định tại điểm a khoản này từ mức ổn định trở lên.
+ Được cơ quan có thẩm quyền của nước nơi tổ chức tín dụng đặt trụ sở chính đánh giá đảm bảo tỷ lệ an toàn vốn, các tỷ lệ bảo đảm an toàn khác, tuân thủ đầy đủ các quy định về quản trị rủi ro và trích lập dự phòng đầy đủ theo quy định của nước nơi tổ chức tín dụng đặt trụ sở chính vào năm liền kề trước năm nộp hồ sơ đề nghị cấp Giấy phép và đến thời điểm nộp hồ sơ bổ sung để được xem xét cấp Giấy phép.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 Số lượng hồ sơ: 02 bộ (01 bộ bằng tiếng Việt và 01 bộ bằng tiếng Anh) trừ trường hợp Thông tư số 56/2024/TT-NHNN có quy định khác, trong đó: 
 a) Bộ hồ sơ tiếng Anh phải được hợp pháp hóa lãnh sự theo quy định của pháp luật, trừ các tài liệu sau đây:
(i) Văn bản của cơ quan có thẩm quyền của nước nơi tổ chức tín dụng nước ngoài, tổ chức nước ngoài khác có hoạt động ngân hàng đặt trụ sở chính gửi trực tiếp cho Ngân hàng Nhà nước;
(ii) Các báo cáo tài chính được lập trực tiếp bằng tiếng Anh;
b) Các bản dịch từ tiếng Anh ra tiếng Việt phải được chứng thực chữ ký của người dịch theo quy định về chứng thực của pháp luật Việt Nam trừ tài liệu quy định tại điểm c khoản này;
c) Bản dịch các báo cáo tài chính phải được xác nhận của tổ chức, cá nhân được phép hành nghề dịch thuật theo quy định của pháp luật;
d) Các văn bản tiếng Việt là bản gốc (hoặc sao từ bản gốc tiếng Việt) được lập tại Việt Nam không cần phải dịch ra tiếng Anh.</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https://thutuc.dichvucong.gov.vn/p/home/dvc-tthc-thu-tuc-hanh-chinh-chi-tiet.html?ma_thu_tuc=2744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2025-11-27T16:43:43Z</dcterms:created>
  <dc:creator>Apache POI</dc:creator>
</cp:coreProperties>
</file>