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2.000854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thành lập chi nhánh của tổ chức hành nghề luật sư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Luật sư</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hành nghề luật sư nước ngoài lập 01 bộ hồ sơ đề nghị thành lập chi nhánh gửi trực tiếp hoặc qua dịch vụ bưu chính đến Cục Bổ trợ tư pháp, Bộ Tư pháp hoặc trực tuyến trên Cổng dịch vụ công quốc gia.</w:t>
      </w:r>
    </w:p>
    <w:p>
      <w:pPr>
        <w:spacing w:after="0" w:before="0" w:lineRule="auto" w:line="276"/>
        <w:jc w:val="both"/>
      </w:pPr>
      <w:r>
        <w:rPr>
          <w:rFonts w:ascii="Times New Roman" w:hAnsi="Times New Roman" w:cs="Times New Roman" w:eastAsia="Times New Roman"/>
          <w:b w:val="false"/>
          <w:sz w:val="26"/>
        </w:rPr>
        <w:t>Trong thời hạn 40 ngày làm việc kể từ ngày nhận đủ hồ sơ hợp lệ và phí thẩm định tiêu chuẩn, điều kiện hành nghề của tổ chức hành nghề luật sư nước ngoài tại Việt Nam, Cục trưởng Cục Bổ trợ tư pháp, Bộ Tư pháp xem xét cấp Giấy phép thành lập chi nhánh; trường hợp từ chối phải thông báo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t>Lệ phí : 20.000.000 Đồng</w:t>
            </w:r>
          </w:p>
        </w:tc>
        <w:tc>
          <w:p/>
          <w:p>
            <w:pPr>
              <w:spacing w:after="0" w:before="0" w:lineRule="auto" w:line="276"/>
              <w:jc w:val="left"/>
            </w:pPr>
            <w:r>
              <w:rPr>
                <w:rFonts w:ascii="Times New Roman" w:hAnsi="Times New Roman" w:cs="Times New Roman" w:eastAsia="Times New Roman"/>
                <w:b w:val="false"/>
                <w:sz w:val="26"/>
              </w:rPr>
              <w:t>Trong thời hạn 40 ngày làm việc kể từ ngày nhận đủ hồ sơ hợp lệ và phí thẩm định tiêu chuẩn, điều kiện hành nghề của tổ chức hành nghề luật sư nước ngoài tại Việt Nam, Cục trưởng Cục Bổ trợ tư pháp, Bộ Tư pháp xem xét cấp Giấy phép thành lập chi nhánh; trường hợp từ chối phải thông báo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t>Phí : 20.000.000 Đồng</w:t>
            </w:r>
          </w:p>
        </w:tc>
        <w:tc>
          <w:p/>
          <w:p>
            <w:pPr>
              <w:spacing w:after="0" w:before="0" w:lineRule="auto" w:line="276"/>
              <w:jc w:val="left"/>
            </w:pPr>
            <w:r>
              <w:rPr>
                <w:rFonts w:ascii="Times New Roman" w:hAnsi="Times New Roman" w:cs="Times New Roman" w:eastAsia="Times New Roman"/>
                <w:b w:val="false"/>
                <w:sz w:val="26"/>
              </w:rPr>
              <w:t>Trong thời hạn 40 ngày làm việc kể từ ngày nhận đủ hồ sơ hợp lệ và phí thẩm định tiêu chuẩn, điều kiện hành nghề của tổ chức hành nghề luật sư nước ngoài tại Việt Nam, Cục trưởng Cục Bổ trợ tư pháp, Bộ Tư pháp xem xét cấp Giấy phép thành lập chi nhánh; trường hợp từ chối phải thông báo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t>Lệ phí : 20.000.000 Đồng</w:t>
            </w:r>
          </w:p>
        </w:tc>
        <w:tc>
          <w:p/>
          <w:p>
            <w:pPr>
              <w:spacing w:after="0" w:before="0" w:lineRule="auto" w:line="276"/>
              <w:jc w:val="left"/>
            </w:pPr>
            <w:r>
              <w:rPr>
                <w:rFonts w:ascii="Times New Roman" w:hAnsi="Times New Roman" w:cs="Times New Roman" w:eastAsia="Times New Roman"/>
                <w:b w:val="false"/>
                <w:sz w:val="26"/>
              </w:rPr>
              <w:t>Trong thời hạn 40 ngày làm việc kể từ ngày nhận đủ hồ sơ hợp lệ và phí thẩm định tiêu chuẩn, điều kiện hành nghề của tổ chức hành nghề luật sư nước ngoài tại Việt Nam, Cục trưởng Cục Bổ trợ tư pháp, Bộ Tư pháp xem xét cấp Giấy phép thành lập chi nhánh; trường hợp từ chối phải thông báo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thành lập chi nhánh;</w:t>
            </w:r>
          </w:p>
        </w:tc>
        <w:tc>
          <w:p/>
          <w:p>
            <w:pPr>
              <w:spacing w:after="0" w:before="0" w:lineRule="auto" w:line="276"/>
              <w:jc w:val="left"/>
            </w:pPr>
            <w:r>
              <w:rPr>
                <w:rFonts w:ascii="Times New Roman" w:hAnsi="Times New Roman" w:cs="Times New Roman" w:eastAsia="Times New Roman"/>
                <w:b w:val="false"/>
                <w:sz w:val="26"/>
              </w:rPr>
              <w:t>Mauso04-PLIII-LS.docx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hoặc bản sao điện tử giấy tờ chứng minh việc thành lập hợp pháp của tổ chức hành nghề luật sư nước ngoài do cơ quan, tổ chức có thẩm quyền của nước ngoài cấp đã được hợp pháp hóa lãnh sự theo quy định của pháp luật Việt Nam, trừ trường hợp được miễn hợp pháp hóa lãnh sự theo điều ước quốc tế mà nước Cộng hòa xã hội chủ nghĩa Việt Nam là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chính hoặc bản sao có chứng thực hoặc bản sao điện tử Quyết định cử luật sư làm Trưởng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Bổ trợ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chi nhánh của tổ chức hành nghề luật sư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220/2016/TT-BTC</w:t>
            </w:r>
          </w:p>
        </w:tc>
        <w:tc>
          <w:p/>
          <w:p>
            <w:pPr>
              <w:spacing w:after="0" w:before="0" w:lineRule="auto" w:line="276"/>
              <w:jc w:val="left"/>
            </w:pPr>
            <w:r>
              <w:rPr>
                <w:rFonts w:ascii="Times New Roman" w:hAnsi="Times New Roman" w:cs="Times New Roman" w:eastAsia="Times New Roman"/>
                <w:b w:val="false"/>
                <w:sz w:val="26"/>
              </w:rPr>
              <w:t>Thông tư số 220/2016/TT-BTC của Bộ trưởng Bộ Tài chính ngày 10/11/2016 quy định mức thu, chế độ thu, nộp, quản lý phí, lệ phí trong lĩnh vực hoạt động luật sư</w:t>
            </w:r>
          </w:p>
        </w:tc>
        <w:tc>
          <w:p/>
          <w:p>
            <w:pPr>
              <w:spacing w:after="0" w:before="0" w:lineRule="auto" w:line="276"/>
              <w:jc w:val="left"/>
            </w:pPr>
            <w:r>
              <w:rPr>
                <w:rFonts w:ascii="Times New Roman" w:hAnsi="Times New Roman" w:cs="Times New Roman" w:eastAsia="Times New Roman"/>
                <w:b w:val="false"/>
                <w:sz w:val="26"/>
              </w:rPr>
              <w:t>10-11-2016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65/2006/QH11</w:t>
            </w:r>
          </w:p>
        </w:tc>
        <w:tc>
          <w:p/>
          <w:p>
            <w:pPr>
              <w:spacing w:after="0" w:before="0" w:lineRule="auto" w:line="276"/>
              <w:jc w:val="left"/>
            </w:pPr>
            <w:r>
              <w:rPr>
                <w:rFonts w:ascii="Times New Roman" w:hAnsi="Times New Roman" w:cs="Times New Roman" w:eastAsia="Times New Roman"/>
                <w:b w:val="false"/>
                <w:sz w:val="26"/>
              </w:rPr>
              <w:t>Luật 65/2006/QH11</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123/2013/NĐ-CP</w:t>
            </w:r>
          </w:p>
        </w:tc>
        <w:tc>
          <w:p/>
          <w:p>
            <w:pPr>
              <w:spacing w:after="0" w:before="0" w:lineRule="auto" w:line="276"/>
              <w:jc w:val="left"/>
            </w:pPr>
            <w:r>
              <w:rPr>
                <w:rFonts w:ascii="Times New Roman" w:hAnsi="Times New Roman" w:cs="Times New Roman" w:eastAsia="Times New Roman"/>
                <w:b w:val="false"/>
                <w:sz w:val="26"/>
              </w:rPr>
              <w:t>Nghị định 123/2013/NĐ-CP</w:t>
            </w:r>
          </w:p>
        </w:tc>
        <w:tc>
          <w:p/>
          <w:p>
            <w:pPr>
              <w:spacing w:after="0" w:before="0" w:lineRule="auto" w:line="276"/>
              <w:jc w:val="left"/>
            </w:pPr>
            <w:r>
              <w:rPr>
                <w:rFonts w:ascii="Times New Roman" w:hAnsi="Times New Roman" w:cs="Times New Roman" w:eastAsia="Times New Roman"/>
                <w:b w:val="false"/>
                <w:sz w:val="26"/>
              </w:rPr>
              <w:t>14-10-2013</w:t>
            </w:r>
          </w:p>
        </w:tc>
        <w:tc>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hành nghề luật sư nước ngoài đã được thành lập và đang hành nghề luật sư hợp pháp tại nước ngoài được phép hành nghề tại Việt Nam theo quy định của Luật này khi có đủ các điều kiện sau đây:
- Cam kết và bảo đảm tuân thủ Hiến pháp và pháp luật của nước Cộng hoà xã hội chủ nghĩa Việt Nam;
- Cam kết và bảo đảm có ít nhất hai luật sư nước ngoài, kể cả Trưởng chi nhánh có mặt và hành nghề tại Việt Nam từ 183 ngày trở lên trong khoảng thời gian liên tục mười hai tháng;
- Trưởng chi nhánh phải có ít nhất hai năm liên tục hành nghề luật sư.</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https://thutuc.dichvucong.gov.vn/p/home/dvc-tthc-thu-tuc-hanh-chinh-chi-tiet.html?ma_thu_tuc=2801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2025-11-27T16:43:58Z</dcterms:created>
  <dc:creator>Apache POI</dc:creator>
</cp:coreProperties>
</file>