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2.000884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chứng thực chữ ký trong các giấy tờ, văn bản (áp dụng cho cả trường hợp chứng thực điểm chỉ và trường hợp người yêu cầu chứng thực không thể ký, không thể điểm chỉ được)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 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Chứng thực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yêu cầu chứng thực chữ ký/điểm chỉ/không thể ký, không thể điểm chỉ được phải xuất trình các giấy tờ phục vụ việc chứng thực chữ ký.</w:t>
      </w:r>
    </w:p>
    <w:p>
      <w:pPr>
        <w:spacing w:after="0" w:before="0" w:lineRule="auto" w:line="276"/>
        <w:jc w:val="both"/>
      </w:pPr>
      <w:r>
        <w:rPr>
          <w:rFonts w:ascii="Times New Roman" w:hAnsi="Times New Roman" w:cs="Times New Roman" w:eastAsia="Times New Roman"/>
          <w:b w:val="false"/>
          <w:sz w:val="26"/>
        </w:rPr>
        <w:t>+ Trong trường hợp người yêu cầu chứng thực không thông thạo tiếng Việt thì phải có người phiên dịch. Người phiên dịch phải là người có năng lực hành vi dân sự đầy đủ theo quy định của pháp luật, thông thạo tiếng Việt và ngôn ngữ mà người yêu cầu chứng thực sử dụng. Người phiên dịch do người yêu cầu chứng thực mời hoặc do cơ quan thực hiện chứng thực chỉ định. Thù lao phiên dịch do người yêu cầu chứng thực trả.</w:t>
      </w:r>
    </w:p>
    <w:p>
      <w:pPr>
        <w:spacing w:after="0" w:before="0" w:lineRule="auto" w:line="276"/>
        <w:jc w:val="both"/>
      </w:pPr>
      <w:r>
        <w:rPr>
          <w:rFonts w:ascii="Times New Roman" w:hAnsi="Times New Roman" w:cs="Times New Roman" w:eastAsia="Times New Roman"/>
          <w:b w:val="false"/>
          <w:sz w:val="26"/>
        </w:rPr>
        <w:t>+ Người thực hiện chứng thực (hoặc người tiếp nhận hồ sơ) kiểm tra giấy tờ yêu cầu chứng thực, nếu thấy đủ giấy tờ theo quy định, tại thời điểm chứng thực, người yêu cầu chứng thực minh mẫn, nhận thức và làm chủ được hành vi của mình và việc chứng thực không thuộc các trường hợp không được chứng thực chữ ký thì yêu cầu người yêu cầu chứng thực ký/điểm chỉ trước mặt và thực hiện chứng thực như sau:
* Ghi đầy đủ lời chứng chứng thực chữ ký theo mẫu quy định phía dưới chữ ký được chứng thực hoặc trang liền sau của trang giấy tờ, văn bản có chữ ký được chứng thực; nếu hồ sơ tiếp nhận tại Trung tâm phục vụ hành chính công cấp xã, Cơ quan đại diện thì người tiếp nhận hồ sơ ký vào dưới lời chứng theo mẫu quy định và chuyển hồ sơ cho người thực hiện chứng thực.
* Người thực hiện chứng thực ký, ghi rõ họ tên, đóng dấu của cơ quan, tổ chức thực hiện chứng thực và ghi vào sổ chứng thực.
Đối với giấy tờ, văn bản có từ 02 (hai) tờ trở lên thì phải đóng dấu giáp lai. Trường hợp lời chứng được ghi tại tờ liền sau của trang có chữ ký thì phải đóng dấu giáp lai giữa giấy tờ, văn bản chứng thực chữ ký và trang ghi lời chứng.</w:t>
      </w:r>
    </w:p>
    <w:p>
      <w:pPr>
        <w:spacing w:after="0" w:before="0" w:lineRule="auto" w:line="276"/>
        <w:jc w:val="both"/>
      </w:pPr>
      <w:r>
        <w:rPr>
          <w:rFonts w:ascii="Times New Roman" w:hAnsi="Times New Roman" w:cs="Times New Roman" w:eastAsia="Times New Roman"/>
          <w:b w:val="false"/>
          <w:sz w:val="26"/>
        </w:rPr>
        <w:t>+ Người thực hiện chứng thực không yêu cầu người yêu cầu chứng thực nộp, xuất trình bản chính hoặc bản sao các giấy tờ, tài liệu đã được tích hợp trên VNeID khi người yêu cầu chứng thực đã xuất trình thông tin tương ứng từ VNeID.</w:t>
      </w:r>
    </w:p>
    <w:p>
      <w:pPr>
        <w:spacing w:after="0" w:before="0" w:lineRule="auto" w:line="276"/>
        <w:jc w:val="both"/>
      </w:pPr>
      <w:r>
        <w:rPr>
          <w:rFonts w:ascii="Times New Roman" w:hAnsi="Times New Roman" w:cs="Times New Roman" w:eastAsia="Times New Roman"/>
          <w:b w:val="false"/>
          <w:sz w:val="26"/>
        </w:rPr>
        <w:t>+ Trường hợp người yêu cầu chứng thực đề nghị và người thực hiện chứng thực có thể khai thác thông tin, giấy tờ từ Cơ sở dữ liệu quốc gia về dân cư hoặc các cơ sở dữ liệu khác theo quy định của pháp luật thì người thực hiện chứng thực có trách nhiệm thực hiện việc khai thác thông tin, giấy tờ từ các cơ sở dữ liệu này, không yêu cầu người yêu cầu chứng thực xuất trình bản chính, bản sao từ sổ gốc hoặc bản sao có chứng thực đối với các thông tin, giấy tờ đã được khai thác.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Thời hạn thực hiện yêu cầu chứng thực là ngay trong ngày cơ quan, tổ chức tiếp nhận yêu cầu hoặc trong ngày làm việc tiếp theo nếu tiếp nhận yêu cầu sau 15 giờ. Trường hợp trả kết quả trong ngày làm việc tiếp theo hoặc phải kéo dài thời gian theo thỏa thuận thì người tiếp nhận hồ sơ phải có phiếu hẹn ghi rõ thời gian (giờ, ngày) trả kết quả cho người yêu cầu chứng thực. </w:t>
            </w:r>
          </w:p>
        </w:tc>
        <w:tc>
          <w:p/>
          <w:p>
            <w:pPr>
              <w:spacing w:after="0" w:before="0" w:lineRule="auto" w:line="276"/>
              <w:jc w:val="left"/>
            </w:pPr>
            <w:r>
              <w:rPr>
                <w:rFonts w:ascii="Times New Roman" w:hAnsi="Times New Roman" w:cs="Times New Roman" w:eastAsia="Times New Roman"/>
                <w:b w:val="false"/>
                <w:sz w:val="26"/>
              </w:rPr>
              <w:t>Phí :  Đồng</w:t>
              <w:t xml:space="preserve"> (+ Tại Ủy ban nhân dân cấp xã, Tổ chức hành nghề công chứng: 10.000 đồng/trường hợp (trường hợp được tính là một hoặc nhiều chữ ký trong một giấy tờ, văn bản). + Tại cơ quan đại diện: 10 USD/bản.)</w:t>
            </w:r>
          </w:p>
        </w:tc>
        <w:tc>
          <w:p/>
          <w:p>
            <w:pPr>
              <w:spacing w:after="0" w:before="0" w:lineRule="auto" w:line="276"/>
              <w:jc w:val="left"/>
            </w:pPr>
            <w:r>
              <w:rPr>
                <w:rFonts w:ascii="Times New Roman" w:hAnsi="Times New Roman" w:cs="Times New Roman" w:eastAsia="Times New Roman"/>
                <w:b w:val="false"/>
                <w:sz w:val="26"/>
              </w:rPr>
              <w:t>Nộp hồ sơ trực tiếp tại Ủy ban nhân dân cấp xã, Tổ chức hành nghề công chứng, Cơ quan đại diện hoặc ngoài trụ sở của cơ quan thực hiện chứng thực nếu người yêu cầu chứng thực thuộc diện già yếu, không thể đi lại được, đang bị tạm giữ, tạm giam, thi hành án phạt tù hoặc có lý do chính đáng khác.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Người yêu cầu chứng thực phải xuất trình các giấy tờ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tờ, văn bản mà mình sẽ yêu cầu chứng thực chữ ký. Trường hợp chứng thực chữ ký trong giấy tờ, văn bản bằng tiếng nước ngoài, nếu người thực hiện chứng thực không hiểu rõ nội dung của giấy tờ, văn bản thì có quyền yêu cầu người yêu cầu chứng thực nộp kèm theo bản dịch ra tiếng Việt nội dung của giấy tờ, văn bản đó (bản dịch không cần công chứng hoặc chứng thực chữ ký người dịch, người yêu cầu chứng thực phải chịu trách nhiệm về nội dung của bản dịch).  + Người yêu cầu chứng thực nhận kết quả tại nơi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Một trong các giấy tờ sau: Căn cước điện tử; bản chính hoặc bản sao của Thẻ căn cước công dân hoặc Thẻ căn cước hoặc Giấy chứng nhận căn cước hoặc Hộ chiếu hoặc giấy tờ xuất nhập cảnh hoặc giấy tờ có giá trị đi lại quốc tế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Cán bộ, công chức, viên chức,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Tổ chức hành nghề công chứng, Cơ quan đại diện có thẩm quyền, 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tờ, văn bản được chứng thực chữ ký/điểm chỉ</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257/2016/TT-BTC</w:t>
            </w:r>
          </w:p>
        </w:tc>
        <w:tc>
          <w:p/>
          <w:p>
            <w:pPr>
              <w:spacing w:after="0" w:before="0" w:lineRule="auto" w:line="276"/>
              <w:jc w:val="left"/>
            </w:pPr>
            <w:r>
              <w:rPr>
                <w:rFonts w:ascii="Times New Roman" w:hAnsi="Times New Roman" w:cs="Times New Roman" w:eastAsia="Times New Roman"/>
                <w:b w:val="false"/>
                <w:sz w:val="26"/>
              </w:rPr>
              <w:t>Thông tư 257/2016/TT-BTC</w:t>
            </w:r>
          </w:p>
        </w:tc>
        <w:tc>
          <w:p/>
          <w:p>
            <w:pPr>
              <w:spacing w:after="0" w:before="0" w:lineRule="auto" w:line="276"/>
              <w:jc w:val="left"/>
            </w:pPr>
            <w:r>
              <w:rPr>
                <w:rFonts w:ascii="Times New Roman" w:hAnsi="Times New Roman" w:cs="Times New Roman" w:eastAsia="Times New Roman"/>
                <w:b w:val="false"/>
                <w:sz w:val="26"/>
              </w:rPr>
              <w:t>11-11-2016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23/2015/NĐ-CP</w:t>
            </w:r>
          </w:p>
        </w:tc>
        <w:tc>
          <w:p/>
          <w:p>
            <w:pPr>
              <w:spacing w:after="0" w:before="0" w:lineRule="auto" w:line="276"/>
              <w:jc w:val="left"/>
            </w:pPr>
            <w:r>
              <w:rPr>
                <w:rFonts w:ascii="Times New Roman" w:hAnsi="Times New Roman" w:cs="Times New Roman" w:eastAsia="Times New Roman"/>
                <w:b w:val="false"/>
                <w:sz w:val="26"/>
              </w:rPr>
              <w:t>Nghị định 23/2015/NĐ-CP</w:t>
            </w:r>
          </w:p>
        </w:tc>
        <w:tc>
          <w:p/>
          <w:p>
            <w:pPr>
              <w:spacing w:after="0" w:before="0" w:lineRule="auto" w:line="276"/>
              <w:jc w:val="left"/>
            </w:pPr>
            <w:r>
              <w:rPr>
                <w:rFonts w:ascii="Times New Roman" w:hAnsi="Times New Roman" w:cs="Times New Roman" w:eastAsia="Times New Roman"/>
                <w:b w:val="false"/>
                <w:sz w:val="26"/>
              </w:rPr>
              <w:t>16-02-2015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226/2016/TT-BTC</w:t>
            </w:r>
          </w:p>
        </w:tc>
        <w:tc>
          <w:p/>
          <w:p>
            <w:pPr>
              <w:spacing w:after="0" w:before="0" w:lineRule="auto" w:line="276"/>
              <w:jc w:val="left"/>
            </w:pPr>
            <w:r>
              <w:rPr>
                <w:rFonts w:ascii="Times New Roman" w:hAnsi="Times New Roman" w:cs="Times New Roman" w:eastAsia="Times New Roman"/>
                <w:b w:val="false"/>
                <w:sz w:val="26"/>
              </w:rPr>
              <w:t>Thông tư 	226/2016/TT-BTC</w:t>
            </w:r>
          </w:p>
        </w:tc>
        <w:tc>
          <w:p/>
          <w:p>
            <w:pPr>
              <w:spacing w:after="0" w:before="0" w:lineRule="auto" w:line="276"/>
              <w:jc w:val="left"/>
            </w:pPr>
            <w:r>
              <w:rPr>
                <w:rFonts w:ascii="Times New Roman" w:hAnsi="Times New Roman" w:cs="Times New Roman" w:eastAsia="Times New Roman"/>
                <w:b w:val="false"/>
                <w:sz w:val="26"/>
              </w:rPr>
              <w:t>11-11-2016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01/2020/TT-BTP</w:t>
            </w:r>
          </w:p>
        </w:tc>
        <w:tc>
          <w:p/>
          <w:p>
            <w:pPr>
              <w:spacing w:after="0" w:before="0" w:lineRule="auto" w:line="276"/>
              <w:jc w:val="left"/>
            </w:pPr>
            <w:r>
              <w:rPr>
                <w:rFonts w:ascii="Times New Roman" w:hAnsi="Times New Roman" w:cs="Times New Roman" w:eastAsia="Times New Roman"/>
                <w:b w:val="false"/>
                <w:sz w:val="26"/>
              </w:rPr>
              <w:t>Thông tư 01/2020/TT-BTP</w:t>
            </w:r>
          </w:p>
        </w:tc>
        <w:tc>
          <w:p/>
          <w:p>
            <w:pPr>
              <w:spacing w:after="0" w:before="0" w:lineRule="auto" w:line="276"/>
              <w:jc w:val="left"/>
            </w:pPr>
            <w:r>
              <w:rPr>
                <w:rFonts w:ascii="Times New Roman" w:hAnsi="Times New Roman" w:cs="Times New Roman" w:eastAsia="Times New Roman"/>
                <w:b w:val="false"/>
                <w:sz w:val="26"/>
              </w:rPr>
              <w:t>03-03-2020</w:t>
            </w:r>
          </w:p>
        </w:tc>
        <w:tc>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280/2025/NĐ-CP</w:t>
            </w:r>
          </w:p>
        </w:tc>
        <w:tc>
          <w:p/>
          <w:p>
            <w:pPr>
              <w:spacing w:after="0" w:before="0" w:lineRule="auto" w:line="276"/>
              <w:jc w:val="left"/>
            </w:pPr>
            <w:r>
              <w:rPr>
                <w:rFonts w:ascii="Times New Roman" w:hAnsi="Times New Roman" w:cs="Times New Roman" w:eastAsia="Times New Roman"/>
                <w:b w:val="false"/>
                <w:sz w:val="26"/>
              </w:rPr>
              <w:t>Nghị định số 280/2025/NĐ-CP sửa đổi, bổ sung một số điều của Nghị định số 23/2015/NĐ-CP về cấp bản sao từ sổ gốc, chứng thực bản sao từ bản chính, chứng thực chữ ký và chứng thực hợp đồng, giao dịch, được sửa đổi, bổ sung bởi Nghị định số 07/2025/NĐ-CP</w:t>
            </w:r>
          </w:p>
        </w:tc>
        <w:tc>
          <w:p/>
          <w:p>
            <w:pPr>
              <w:spacing w:after="0" w:before="0" w:lineRule="auto" w:line="276"/>
              <w:jc w:val="left"/>
            </w:pPr>
            <w:r>
              <w:rPr>
                <w:rFonts w:ascii="Times New Roman" w:hAnsi="Times New Roman" w:cs="Times New Roman" w:eastAsia="Times New Roman"/>
                <w:b w:val="false"/>
                <w:sz w:val="26"/>
              </w:rPr>
              <w:t>27-10-2025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Trường hợp không được chứng thực chữ ký:
+ Tại thời điểm chứng thực, người yêu cầu chứng thực chữ ký không nhận thức và làm chủ được hành vi của mình.
+ Người yêu cầu chứng thực chữ ký xuất trình Căn cước điện tử hoặc Thẻ căn cước công dân hoặc Thẻ căn cước hoặc Giấy chứng nhận căn cước hoặc Hộ chiếu hoặc giấy tờ xuất nhập cảnh hoặc giấy tờ có giá trị đi lại quốc tế không còn giá trị sử dụng hoặc giả mạo.
+ Giấy tờ, văn bản mà người yêu cầu chứng thực ký vào có nội dung quy định tại Khoản 4 Điều 22 của Nghị định số 23/2015/NĐ-CP.
+ Giấy tờ, văn bản có nội dung là giao dịch; trừ Giấy ủy quyền trong các trường hợp Giấy ủy quyền: (1) ủy quyền về việc nộp hộ, nhận hộ hồ sơ, giấy tờ, trừ trường hợp pháp luật quy định không được ủy quyền; (2) ủy quyền nhận hộ lương hưu, bưu phẩm, trợ cấp, phụ cấp; (3) ủy quyền nhờ trông nom nhà cửa; (4) ủy quyền của thành viên hộ gia đình để vay vốn tại Ngân hàng chính sách xã hội;  hoặc trừ trường hợp pháp luật có quy định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2025-11-27T16:44:35Z</dcterms:created>
  <dc:creator>Apache POI</dc:creator>
</cp:coreProperties>
</file>