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thành lập chi nhánh của công ty luật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Luật sư</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Công ty luật nước ngoài tại Việt Nam lập 01 bộ hồ sơ đề nghị thành lập chi nhánh gửi trực tiếp hoặc qua dịch vụ bưu chính đến Cục Bổ trợ tư pháp, Bộ Tư pháp hoặc trực tuyến trên Cổng dịch vụ công quốc gia.</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đủ hồ sơ hợp lệ và phí thẩm định tiêu chuẩn, điều kiện hành nghề của chi nhánh của công ty luật nước ngoài tại Việt Nam, Cục trưởng Cục Bổ trợ tư pháp, Bộ Tư pháp xem xét cấp Giấy phép thành lập chi nhánh; trường hợp từ chối phải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Lệ phí : 3.000.000 Đồng</w:t>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đủ hồ sơ hợp lệ và phí thẩm định tiêu chuẩn, điều kiện hành nghề của chi nhánh của công ty luật nước ngoài tại Việt Nam, Cục trưởng Cục Bổ trợ tư pháp, Bộ Tư pháp xem xét cấp Giấy phép thành lập chi nhánh;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3.000.000 Đồng</w:t>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đủ hồ sơ hợp lệ và phí thẩm định tiêu chuẩn, điều kiện hành nghề của chi nhánh của công ty luật nước ngoài tại Việt Nam, Cục trưởng Cục Bổ trợ tư pháp, Bộ Tư pháp xem xét cấp Giấy phép thành lập chi nhánh; trường hợp từ chối phải thông báo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Lệ phí : 3.000.000 Đồng</w:t>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nhận đủ hồ sơ hợp lệ và phí thẩm định tiêu chuẩn, điều kiện hành nghề của chi nhánh của công ty luật nước ngoài tại Việt Nam, Cục trưởng Cục Bổ trợ tư pháp, Bộ Tư pháp xem xét cấp Giấy phép thành lập chi nhánh; trường hợp từ chối phải thông báo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thành lập chi nhánh</w:t>
            </w:r>
          </w:p>
        </w:tc>
        <w:tc>
          <w:p/>
          <w:p>
            <w:pPr>
              <w:spacing w:after="0" w:before="0" w:lineRule="auto" w:line="276"/>
              <w:jc w:val="left"/>
            </w:pPr>
            <w:r>
              <w:rPr>
                <w:rFonts w:ascii="Times New Roman" w:hAnsi="Times New Roman" w:cs="Times New Roman" w:eastAsia="Times New Roman"/>
                <w:b w:val="false"/>
                <w:sz w:val="26"/>
              </w:rPr>
              <w:t>Mauso08-PLIII-LS.docx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hoặc bản sao điện tử Giấy ủy quyền cho luật sư làm Trưởng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chính để đối chiếu hoặc bản sao điện tử Giấy tờ chứng minh về trụ sở của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Bổ trợ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chi nhánh của công ty luật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220/2016/TT-BTC</w:t>
            </w:r>
          </w:p>
        </w:tc>
        <w:tc>
          <w:p/>
          <w:p>
            <w:pPr>
              <w:spacing w:after="0" w:before="0" w:lineRule="auto" w:line="276"/>
              <w:jc w:val="left"/>
            </w:pPr>
            <w:r>
              <w:rPr>
                <w:rFonts w:ascii="Times New Roman" w:hAnsi="Times New Roman" w:cs="Times New Roman" w:eastAsia="Times New Roman"/>
                <w:b w:val="false"/>
                <w:sz w:val="26"/>
              </w:rPr>
              <w:t>Thông tư số 220/2016/TT-BTC của Bộ trưởng Bộ Tài chính ngày 10/11/2016 quy định mức thu, chế độ thu, nộp, quản lý phí, lệ phí trong lĩnh vực hoạt động luật sư</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65/2006/QH11</w:t>
            </w:r>
          </w:p>
        </w:tc>
        <w:tc>
          <w:p/>
          <w:p>
            <w:pPr>
              <w:spacing w:after="0" w:before="0" w:lineRule="auto" w:line="276"/>
              <w:jc w:val="left"/>
            </w:pPr>
            <w:r>
              <w:rPr>
                <w:rFonts w:ascii="Times New Roman" w:hAnsi="Times New Roman" w:cs="Times New Roman" w:eastAsia="Times New Roman"/>
                <w:b w:val="false"/>
                <w:sz w:val="26"/>
              </w:rPr>
              <w:t>Luật 65/2006/QH11</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Nghị định số 123/2013/NĐ-CP </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Luật sư</w:t>
            </w:r>
          </w:p>
        </w:tc>
        <w:tc>
          <w:p/>
          <w:p>
            <w:pPr>
              <w:spacing w:after="0" w:before="0" w:lineRule="auto" w:line="276"/>
              <w:jc w:val="left"/>
            </w:pPr>
            <w:r>
              <w:rPr>
                <w:rFonts w:ascii="Times New Roman" w:hAnsi="Times New Roman" w:cs="Times New Roman" w:eastAsia="Times New Roman"/>
                <w:b w:val="false"/>
                <w:sz w:val="26"/>
              </w:rPr>
              <w:t>14-10-2013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2025-11-27T16:44:33Z</dcterms:created>
  <dc:creator>Apache POI</dc:creator>
</cp:coreProperties>
</file>