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Tham gia bảo hiểm thất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30 ngày, kể từ ngày hợp đồng lao động hoặc hợp đồng làm việc có hiệu lực, người sử dụng lao động lập và nộp hồ sơ tham gia bảo hiểm thất nghiệp của người lao động cho cơ quan bảo hiểm xã hội.</w:t>
      </w:r>
    </w:p>
    <w:p>
      <w:pPr>
        <w:spacing w:after="0" w:before="0" w:lineRule="auto" w:line="276"/>
        <w:jc w:val="both"/>
      </w:pPr>
      <w:r>
        <w:rPr>
          <w:rFonts w:ascii="Times New Roman" w:hAnsi="Times New Roman" w:cs="Times New Roman" w:eastAsia="Times New Roman"/>
          <w:b w:val="false"/>
          <w:sz w:val="26"/>
        </w:rPr>
        <w:t>Bước 2: Hằng tháng, người sử dụng lao động đóng bảo hiểm thất nghiệp theo mức bằng 1% quỹ tiền lương tháng của những người lao động đang tham gia bảo hiểm thất nghiệp và trích tiền lương của từng người lao động theo mức bằng 1% tiền lương tháng để đóng cùng một lúc vào quỹ bảo hiểm thất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định của Bảo hiểm xã hội Việt Nam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sử dụng lao động lập và nộp hồ sơ tham gia bảo hiểm thất nghiệp, đóng bảo hiểm thất nghiệp theo mức quy định của người lao động cho cơ quan bảo hiểm xã hội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của Bảo hiểm xã hội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lao động tham gia đóng bảo hiểm thất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38/2013/QH13 -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28/2015/NĐ-CP -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28/2015/TT-BLĐTBXH -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sử dụng lao động tham gia bảo hiểm thất nghiệp bao gồm cơ quan nhà nước, đơn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doanh nghiệp, hợp tác xã, hộ gia đình, hộ kinh doanh, tổ hợp tác, tổ chức khác và cá nhân có thuê mướn, sử dụng lao động theo hợp đồng làm việc hoặc hợp đồng lao động quy định tại khoản 1 Điều 43 của Luật Việc làm.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2025-11-27T16:44:47Z</dcterms:created>
  <dc:creator>Apache POI</dc:creator>
</cp:coreProperties>
</file>