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2.000890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524/QĐ-BTP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phép thành lập văn phòng giám định tư pháp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Giám định tư pháp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Giám định viên tư pháp muốn thành lập Văn phòng giám định tư pháp nộp hồ sơ xin cấp phép thành lập Văn phòng giám định tư pháp tại Sở Tư pháp</w:t>
      </w:r>
    </w:p>
    <w:p>
      <w:pPr>
        <w:spacing w:after="0" w:before="0" w:lineRule="auto" w:line="276"/>
        <w:jc w:val="both"/>
      </w:pPr>
      <w:r>
        <w:rPr>
          <w:rFonts w:ascii="Times New Roman" w:hAnsi="Times New Roman" w:cs="Times New Roman" w:eastAsia="Times New Roman"/>
          <w:b w:val="false"/>
          <w:sz w:val="26"/>
        </w:rPr>
        <w:t>Chủ tịch Uỷ ban nhân dân cấp tỉnh nơi đặt trụ sở hoạt động xem xét, quyết định cho phép thành lập Văn phòng giám định tư pháp theo đề nghị của Giám đốc Sở Tư pháp</w:t>
      </w:r>
    </w:p>
    <w:p>
      <w:pPr>
        <w:spacing w:after="0" w:before="0" w:lineRule="auto" w:line="276"/>
        <w:jc w:val="both"/>
      </w:pPr>
      <w:r>
        <w:rPr>
          <w:rFonts w:ascii="Times New Roman" w:hAnsi="Times New Roman" w:cs="Times New Roman" w:eastAsia="Times New Roman"/>
          <w:b w:val="false"/>
          <w:sz w:val="26"/>
        </w:rPr>
        <w:t>Trong thời hạn 30 ngày, kể từ ngày nhận đủ hồ sơ hợp lệ, Giám đốc Sở Tư pháp xem xét, thẩm định hồ sơ xin phép thành lập Văn phòng giám định tư pháp, thống nhất ý kiến với người đứng đầu cơ quan chuyên môn của Ủy ban nhân dân cấp tỉnh quản lý lĩnh vực giám định tư pháp, trình Chủ tịch Ủy ban nhân dân cấp tỉnh xem xét, quyết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 hợp lệ, Giám đốc Sở Tư pháp xem xét, thẩm định hồ sơ xin phép thành lập Văn phòng giám định tư pháp, thống nhất ý kiến với người đứng đầu cơ quan chuyên môn của Ủy ban nhân dân cấp tỉnh quản lý lĩnh vực giám định tư pháp, trình Chủ tịch Ủy ban nhân dân cấp tỉnh xem xét, quyết định
Trong thời hạn 15 ngày, kể từ ngày Sở Tư pháp trình hồ sơ, Chủ tịch Ủy ban nhân dân cấp tỉnh xem xét, quyết định cho phép thành lập Văn phòng giám định tư pháp. Trường hợp không cho phép thì phải thông báo bằng văn bản và nêu rõ lý do. Người bị từ chối có quyền khiếu nại, khởi kiện theo quy định của pháp luật.</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 hợp lệ, Giám đốc Sở Tư pháp xem xét, thẩm định hồ sơ xin phép thành lập Văn phòng giám định tư pháp, thống nhất ý kiến với người đứng đầu cơ quan chuyên môn của Ủy ban nhân dân cấp tỉnh quản lý lĩnh vực giám định tư pháp, trình Chủ tịch Ủy ban nhân dân cấp tỉnh xem xét, quyết định
Trong thời hạn 15 ngày, kể từ ngày Sở Tư pháp trình hồ sơ, Chủ tịch Ủy ban nhân dân cấp tỉnh xem xét, quyết định cho phép thành lập Văn phòng giám định tư pháp. Trường hợp không cho phép thì phải thông báo bằng văn bản và nêu rõ lý do. Người bị từ chối có quyền khiếu nại, khởi kiện theo quy định của pháp luật.</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Dự thảo Quy chế tổ chức, hoạt động của Văn phòng giám định tư pháp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xin phép thành lập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Quyết định bổ nhiệm giám định viên tư pháp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Đề án thành lập Văn phòng giám định tư pháp phải nêu rõ mục đích thành lập; dự kiến về tên gọi, nhân sự, địa điểm đặt trụ sở; điều kiện về cơ sở vật chất, trang thiết bị, phương tiện giám định theo quy định của bộ, cơ quan ngang bộ quản lý chuyên môn về lĩnh vực giám định và kế hoạch triển khai thực hiện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thành lập Văn phòng giám định tư pháp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13/2012/QH13</w:t>
            </w:r>
          </w:p>
        </w:tc>
        <w:tc>
          <w:p/>
          <w:p>
            <w:pPr>
              <w:spacing w:after="0" w:before="0" w:lineRule="auto" w:line="276"/>
              <w:jc w:val="left"/>
            </w:pPr>
            <w:r>
              <w:rPr>
                <w:rFonts w:ascii="Times New Roman" w:hAnsi="Times New Roman" w:cs="Times New Roman" w:eastAsia="Times New Roman"/>
                <w:b w:val="false"/>
                <w:sz w:val="26"/>
              </w:rPr>
              <w:t>Luật 13/2012/QH13-Giám định tư pháp</w:t>
            </w:r>
          </w:p>
        </w:tc>
        <w:tc>
          <w:p/>
          <w:p>
            <w:pPr>
              <w:spacing w:after="0" w:before="0" w:lineRule="auto" w:line="276"/>
              <w:jc w:val="left"/>
            </w:pPr>
            <w:r>
              <w:rPr>
                <w:rFonts w:ascii="Times New Roman" w:hAnsi="Times New Roman" w:cs="Times New Roman" w:eastAsia="Times New Roman"/>
                <w:b w:val="false"/>
                <w:sz w:val="26"/>
              </w:rPr>
              <w:t>20-06-2012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56/2020/QH14</w:t>
            </w:r>
          </w:p>
        </w:tc>
        <w:tc>
          <w:p/>
          <w:p>
            <w:pPr>
              <w:spacing w:after="0" w:before="0" w:lineRule="auto" w:line="276"/>
              <w:jc w:val="left"/>
            </w:pPr>
            <w:r>
              <w:rPr>
                <w:rFonts w:ascii="Times New Roman" w:hAnsi="Times New Roman" w:cs="Times New Roman" w:eastAsia="Times New Roman"/>
                <w:b w:val="false"/>
                <w:sz w:val="26"/>
              </w:rPr>
              <w:t>Luật 56/2020/QH14</w:t>
            </w:r>
          </w:p>
        </w:tc>
        <w:tc>
          <w:p/>
          <w:p>
            <w:pPr>
              <w:spacing w:after="0" w:before="0" w:lineRule="auto" w:line="276"/>
              <w:jc w:val="left"/>
            </w:pPr>
            <w:r>
              <w:rPr>
                <w:rFonts w:ascii="Times New Roman" w:hAnsi="Times New Roman" w:cs="Times New Roman" w:eastAsia="Times New Roman"/>
                <w:b w:val="false"/>
                <w:sz w:val="26"/>
              </w:rPr>
              <w:t>10-06-2020</w:t>
            </w:r>
          </w:p>
        </w:tc>
        <w:tc>
          <w:p/>
        </w:tc>
      </w:tr>
      <w:tr>
        <w:tc>
          <w:p/>
          <w:p>
            <w:pPr>
              <w:spacing w:after="0" w:before="0" w:lineRule="auto" w:line="276"/>
              <w:jc w:val="left"/>
            </w:pPr>
            <w:r>
              <w:rPr>
                <w:rFonts w:ascii="Times New Roman" w:hAnsi="Times New Roman" w:cs="Times New Roman" w:eastAsia="Times New Roman"/>
                <w:b w:val="false"/>
                <w:sz w:val="26"/>
              </w:rPr>
              <w:t>157/2020/NĐ-CP</w:t>
            </w:r>
          </w:p>
        </w:tc>
        <w:tc>
          <w:p/>
          <w:p>
            <w:pPr>
              <w:spacing w:after="0" w:before="0" w:lineRule="auto" w:line="276"/>
              <w:jc w:val="left"/>
            </w:pPr>
            <w:r>
              <w:rPr>
                <w:rFonts w:ascii="Times New Roman" w:hAnsi="Times New Roman" w:cs="Times New Roman" w:eastAsia="Times New Roman"/>
                <w:b w:val="false"/>
                <w:sz w:val="26"/>
              </w:rPr>
              <w:t>Nghị định 157/2020/NĐ-CP</w:t>
            </w:r>
          </w:p>
        </w:tc>
        <w:tc>
          <w:p/>
          <w:p>
            <w:pPr>
              <w:spacing w:after="0" w:before="0" w:lineRule="auto" w:line="276"/>
              <w:jc w:val="left"/>
            </w:pPr>
            <w:r>
              <w:rPr>
                <w:rFonts w:ascii="Times New Roman" w:hAnsi="Times New Roman" w:cs="Times New Roman" w:eastAsia="Times New Roman"/>
                <w:b w:val="false"/>
                <w:sz w:val="26"/>
              </w:rPr>
              <w:t>31-12-2020</w:t>
            </w:r>
          </w:p>
        </w:tc>
        <w:tc>
          <w:p/>
        </w:tc>
      </w:tr>
      <w:tr>
        <w:tc>
          <w:p/>
          <w:p>
            <w:pPr>
              <w:spacing w:after="0" w:before="0" w:lineRule="auto" w:line="276"/>
              <w:jc w:val="left"/>
            </w:pPr>
            <w:r>
              <w:rPr>
                <w:rFonts w:ascii="Times New Roman" w:hAnsi="Times New Roman" w:cs="Times New Roman" w:eastAsia="Times New Roman"/>
                <w:b w:val="false"/>
                <w:sz w:val="26"/>
              </w:rPr>
              <w:t>85/2013/NĐ-CP</w:t>
            </w:r>
          </w:p>
        </w:tc>
        <w:tc>
          <w:p/>
          <w:p>
            <w:pPr>
              <w:spacing w:after="0" w:before="0" w:lineRule="auto" w:line="276"/>
              <w:jc w:val="left"/>
            </w:pPr>
            <w:r>
              <w:rPr>
                <w:rFonts w:ascii="Times New Roman" w:hAnsi="Times New Roman" w:cs="Times New Roman" w:eastAsia="Times New Roman"/>
                <w:b w:val="false"/>
                <w:sz w:val="26"/>
              </w:rPr>
              <w:t>Nghị định 85/2013/NĐ-CP</w:t>
            </w:r>
          </w:p>
        </w:tc>
        <w:tc>
          <w:p/>
          <w:p>
            <w:pPr>
              <w:spacing w:after="0" w:before="0" w:lineRule="auto" w:line="276"/>
              <w:jc w:val="left"/>
            </w:pPr>
            <w:r>
              <w:rPr>
                <w:rFonts w:ascii="Times New Roman" w:hAnsi="Times New Roman" w:cs="Times New Roman" w:eastAsia="Times New Roman"/>
                <w:b w:val="false"/>
                <w:sz w:val="26"/>
              </w:rPr>
              <w:t>29-07-2013</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Giám định viên tư pháp được thành lập Văn phòng giám định tư pháp khi có đủ các điều kiện sau đây:
+ Có từ đủ 03 năm trở lên là giám định viên tư pháp và có hoạt động giám định trong lĩnh vực đề nghị thành lập Văn phòng;  
+ Có Đề án thành lập theo quy định tại điểm d khoản 2 Điều 16 của Luật giám định tư pháp.
- Cán bộ, công chức, viên chức, sĩ quan quân đội, sĩ quan công an nhân dân, quân nhân chuyên nghiệp, công nhân quốc phòng không được thành lập Văn phòng giám định tư pháp.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https://thutuc.dichvucong.gov.vn/p/home/dvc-tthc-thu-tuc-hanh-chinh-chi-tiet.html?ma_thu_tuc=2913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2025-11-27T16:44:48Z</dcterms:created>
  <dc:creator>Apache POI</dc:creator>
</cp:coreProperties>
</file>