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3339/QĐ-NHCS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chi tiền mặt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Khách hàng lập chứng từ lĩnh tiền mặt theo mẫu quy định gửi NHCSXH nơi thực hiện thủ tục</w:t>
      </w:r>
    </w:p>
    <w:p>
      <w:pPr>
        <w:spacing w:after="0" w:before="0" w:lineRule="auto" w:line="276"/>
        <w:jc w:val="both"/>
      </w:pPr>
      <w:r>
        <w:rPr>
          <w:rFonts w:ascii="Times New Roman" w:hAnsi="Times New Roman" w:cs="Times New Roman" w:eastAsia="Times New Roman"/>
          <w:b w:val="false"/>
          <w:sz w:val="26"/>
        </w:rPr>
        <w:t>Bước 2: NHCSXH nơi thực hiện thủ tục tiếp nhận chứng từ, kiểm tra các thông tin có liên quan đến quá trình lĩnh tiền. Nếu đầy đủ các thông tin và đảm bảo yếu tố pháp lý trên chứng từ thì tiến hành chi tiền. Nếu sai sót thì NHCSXH nơi thực hiện thủ tục yêu cầu khách hàng bổ sung thông tin hoặc lập lại chứng từ</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sau khi nhận được chứng từ đủ điều kiện thanh toán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trụ sở NHCSXH nơi thực hiện thủ tục.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lĩnh tiền mặt hoặc séc lĩnh tiền mặt, phiếu chi tiền (02 liên).</w:t>
            </w:r>
          </w:p>
        </w:tc>
        <w:tc>
          <w:p/>
          <w:p>
            <w:pPr>
              <w:spacing w:after="0" w:before="0" w:lineRule="auto" w:line="276"/>
              <w:jc w:val="left"/>
            </w:pPr>
            <w:r>
              <w:rPr>
                <w:rFonts w:ascii="Times New Roman" w:hAnsi="Times New Roman" w:cs="Times New Roman" w:eastAsia="Times New Roman"/>
                <w:b w:val="false"/>
                <w:sz w:val="26"/>
              </w:rPr>
              <w:t>Giấy lĩnh tiền mặt.doc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uỷ quyền (nếu người lĩnh tiền là người được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Séc lĩnh tiền mặt (Mẫu số 04/KT).</w:t>
            </w:r>
          </w:p>
        </w:tc>
        <w:tc>
          <w:p/>
          <w:p>
            <w:pPr>
              <w:spacing w:after="0" w:before="0" w:lineRule="auto" w:line="276"/>
              <w:jc w:val="left"/>
            </w:pPr>
            <w:r>
              <w:rPr>
                <w:rFonts w:ascii="Times New Roman" w:hAnsi="Times New Roman" w:cs="Times New Roman" w:eastAsia="Times New Roman"/>
                <w:b w:val="false"/>
                <w:sz w:val="26"/>
              </w:rPr>
              <w:t>04-KT (2669-NHCS - KT ngày 03.11.2006)).doc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Giải quyết chi tiền cho khách hàng và ghi Nợ vào tài khoản của khách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64/2001/NĐ-CP</w:t>
            </w:r>
          </w:p>
        </w:tc>
        <w:tc>
          <w:p/>
          <w:p>
            <w:pPr>
              <w:spacing w:after="0" w:before="0" w:lineRule="auto" w:line="276"/>
              <w:jc w:val="left"/>
            </w:pPr>
            <w:r>
              <w:rPr>
                <w:rFonts w:ascii="Times New Roman" w:hAnsi="Times New Roman" w:cs="Times New Roman" w:eastAsia="Times New Roman"/>
                <w:b w:val="false"/>
                <w:sz w:val="26"/>
              </w:rPr>
              <w:t>Về hoạt động thanh toán qua các tổ chức cung ứng dịch vụ thanh toán</w:t>
            </w:r>
          </w:p>
        </w:tc>
        <w:tc>
          <w:p/>
          <w:p>
            <w:pPr>
              <w:spacing w:after="0" w:before="0" w:lineRule="auto" w:line="276"/>
              <w:jc w:val="left"/>
            </w:pPr>
            <w:r>
              <w:rPr>
                <w:rFonts w:ascii="Times New Roman" w:hAnsi="Times New Roman" w:cs="Times New Roman" w:eastAsia="Times New Roman"/>
                <w:b w:val="false"/>
                <w:sz w:val="26"/>
              </w:rPr>
              <w:t>20-09-2001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226/2002/QĐ-NHNN</w:t>
            </w:r>
          </w:p>
        </w:tc>
        <w:tc>
          <w:p/>
          <w:p>
            <w:pPr>
              <w:spacing w:after="0" w:before="0" w:lineRule="auto" w:line="276"/>
              <w:jc w:val="left"/>
            </w:pPr>
            <w:r>
              <w:rPr>
                <w:rFonts w:ascii="Times New Roman" w:hAnsi="Times New Roman" w:cs="Times New Roman" w:eastAsia="Times New Roman"/>
                <w:b w:val="false"/>
                <w:sz w:val="26"/>
              </w:rPr>
              <w:t>Về việc ban hành Quy chế Hoạt động thanh toán qua các tổ chức cung ứng dịch vụ thanh toán</w:t>
            </w:r>
          </w:p>
        </w:tc>
        <w:tc>
          <w:p/>
          <w:p>
            <w:pPr>
              <w:spacing w:after="0" w:before="0" w:lineRule="auto" w:line="276"/>
              <w:jc w:val="left"/>
            </w:pPr>
            <w:r>
              <w:rPr>
                <w:rFonts w:ascii="Times New Roman" w:hAnsi="Times New Roman" w:cs="Times New Roman" w:eastAsia="Times New Roman"/>
                <w:b w:val="false"/>
                <w:sz w:val="26"/>
              </w:rPr>
              <w:t>26-03-2002</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1092/2002/QĐ-NHNN</w:t>
            </w:r>
          </w:p>
        </w:tc>
        <w:tc>
          <w:p/>
          <w:p>
            <w:pPr>
              <w:spacing w:after="0" w:before="0" w:lineRule="auto" w:line="276"/>
              <w:jc w:val="left"/>
            </w:pPr>
            <w:r>
              <w:rPr>
                <w:rFonts w:ascii="Times New Roman" w:hAnsi="Times New Roman" w:cs="Times New Roman" w:eastAsia="Times New Roman"/>
                <w:b w:val="false"/>
                <w:sz w:val="26"/>
              </w:rPr>
              <w:t>Về việc ban hành Quy định thủ tục thanh toán qua các tổ chức cung ứng dịch vụ thanh toán</w:t>
            </w:r>
          </w:p>
        </w:tc>
        <w:tc>
          <w:p/>
          <w:p>
            <w:pPr>
              <w:spacing w:after="0" w:before="0" w:lineRule="auto" w:line="276"/>
              <w:jc w:val="left"/>
            </w:pPr>
            <w:r>
              <w:rPr>
                <w:rFonts w:ascii="Times New Roman" w:hAnsi="Times New Roman" w:cs="Times New Roman" w:eastAsia="Times New Roman"/>
                <w:b w:val="false"/>
                <w:sz w:val="26"/>
              </w:rPr>
              <w:t>08-10-2002</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Về việc phê duyệt Điều lệ về tổ chức và hoạt động của Ngân hàng Chính sách xã hội</w:t>
            </w:r>
          </w:p>
        </w:tc>
        <w:tc>
          <w:p/>
          <w:p>
            <w:pPr>
              <w:spacing w:after="0" w:before="0" w:lineRule="auto" w:line="276"/>
              <w:jc w:val="left"/>
            </w:pPr>
            <w:r>
              <w:rPr>
                <w:rFonts w:ascii="Times New Roman" w:hAnsi="Times New Roman" w:cs="Times New Roman" w:eastAsia="Times New Roman"/>
                <w:b w:val="false"/>
                <w:sz w:val="26"/>
              </w:rPr>
              <w:t>22-01-2003</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122/NHCS-KT</w:t>
            </w:r>
          </w:p>
        </w:tc>
        <w:tc>
          <w:p/>
          <w:p>
            <w:pPr>
              <w:spacing w:after="0" w:before="0" w:lineRule="auto" w:line="276"/>
              <w:jc w:val="left"/>
            </w:pPr>
            <w:r>
              <w:rPr>
                <w:rFonts w:ascii="Times New Roman" w:hAnsi="Times New Roman" w:cs="Times New Roman" w:eastAsia="Times New Roman"/>
                <w:b w:val="false"/>
                <w:sz w:val="26"/>
              </w:rPr>
              <w:t>V/v hướng dẫn nghiệp vụ thanh toán trong hệ thống NHCSXH</w:t>
            </w:r>
          </w:p>
        </w:tc>
        <w:tc>
          <w:p/>
          <w:p>
            <w:pPr>
              <w:spacing w:after="0" w:before="0" w:lineRule="auto" w:line="276"/>
              <w:jc w:val="left"/>
            </w:pPr>
            <w:r>
              <w:rPr>
                <w:rFonts w:ascii="Times New Roman" w:hAnsi="Times New Roman" w:cs="Times New Roman" w:eastAsia="Times New Roman"/>
                <w:b w:val="false"/>
                <w:sz w:val="26"/>
              </w:rPr>
              <w:t>10-03-2003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Chứng minh nhân dân của người lĩnh tiền.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2025-11-27T16:45:22Z</dcterms:created>
  <dc:creator>Apache POI</dc:creator>
</cp:coreProperties>
</file>