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lao động cho chuyên gia khoa học công nghệ làm việc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60 ngày trước ngày giấy phép lao động hết thời hạn, cơ quan, tổ chức phải nộp 1 bộ hồ sơ đề nghị cấp lại giấy phép lao động đến Cục Việc làm (Bộ Nội vụ);</w:t>
      </w:r>
    </w:p>
    <w:p>
      <w:pPr>
        <w:spacing w:after="0" w:before="0" w:lineRule="auto" w:line="276"/>
        <w:jc w:val="both"/>
      </w:pPr>
      <w:r>
        <w:rPr>
          <w:rFonts w:ascii="Times New Roman" w:hAnsi="Times New Roman" w:cs="Times New Roman" w:eastAsia="Times New Roman"/>
          <w:b w:val="false"/>
          <w:sz w:val="26"/>
        </w:rPr>
        <w:t>Bước 2: Trong thời hạn 3 ngày làm việc kể từ ngày nhận đủ hồ sơ đề nghị cấp lại giấy phép lao động của cơ quan, tổ chức, Cục Việc làm (Bộ Nội vụ) cấp lại giấy phép lao động. Trường hợp không cấp lại giấy phép lao động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tổ chức nộp trực tiếp 1 bộ hồ sơ đề nghị cấp lại giấy phép lao động hoặc gửi qua đường bưu điện hoặc thư điện tử qua website http://www.vieclamvietnam.gov.vn đến Cục Việc làm (Bộ Nội vụ) để được xem xét, cấp lại giấy phép lao động cho chuyên gia khoa học công nghệ;
- Trường hợp cơ quan, tổ chức nộp hồ sơ đề nghị cấp lại giấy phép lao động theo quy định tại Điều 8 của Thông tư số 24/2015/TT-BLĐTBXH ngày 13/7/2015 bằng thư điện tử qua website http://www.vieclamvietnam.gov.vn thì trước khi nhận giấy phép lao động phải nộp trực tiếp hoặc gửi qua đường bưu điện 1 bộ hồ sơ cấp lại giấy phép lao động theo quy định tại Điều 8 của Thông tư số 24/2015/TT-BLĐTBXH ngày 13/7/2015 đến Cục Việc làm (Bộ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quan, tổ chức nộp trực tiếp 1 bộ hồ sơ đề nghị cấp lại giấy phép lao động hoặc gửi qua đường bưu điện hoặc thư điện tử qua website http://www.vieclamvietnam.gov.vn đến Cục Việc làm (Bộ Nội vụ) để được xem xét, cấp lại giấy phép lao động cho chuyên gia khoa học công nghệ;
- Trường hợp cơ quan, tổ chức nộp hồ sơ đề nghị cấp lại giấy phép lao động theo quy định tại Điều 8 của Thông tư số 24/2015/TT-BLĐTBXH ngày 13/7/2015 bằng thư điện tử qua website http://www.vieclamvietnam.gov.vn thì trước khi nhận giấy phép lao động phải nộp trực tiếp hoặc gửi qua đường bưu điện 1 bộ hồ sơ cấp lại giấy phép lao động theo quy định tại Điều 8 của Thông tư số 24/2015/TT-BLĐTBXH ngày 13/7/2015 đến Cục Việc làm (Bộ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lao động của cơ quan, tổ chức</w:t>
            </w:r>
          </w:p>
        </w:tc>
        <w:tc>
          <w:p/>
          <w:p>
            <w:pPr>
              <w:spacing w:after="0" w:before="0" w:lineRule="auto" w:line="276"/>
              <w:jc w:val="left"/>
            </w:pPr>
            <w:r>
              <w:rPr>
                <w:rFonts w:ascii="Times New Roman" w:hAnsi="Times New Roman" w:cs="Times New Roman" w:eastAsia="Times New Roman"/>
                <w:b w:val="false"/>
                <w:sz w:val="26"/>
              </w:rPr>
              <w:t>34Mus2BanhnhkmtheoThngts24_2015.docx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phép lao động đã được cấp;  + Trường hợp giấy phép lao động bị mất thì phải có xác nhận của cơ quan Công an cấp phường của Việt Nam hoặc cơ quan Công an của nước ngoài theo quy định của pháp luật;  + Trường hợp thay đổi dung ghi trên giấy phép lao động theo quy định tại Khoản 1 Điều 7 của Thông tư số 24/2015/TT-BLĐTBXH thì phải có các giấy tờ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ảnh mầu (kích thước 3cm x 4cm, phông nền trắng, mặt nhìn thẳng, đầu để trần, không đeo kính mầu), ảnh chụp không quá 6 tháng tính đến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nêu trên là 1 bản chụp kèm theo bản chính để đối chiếu hoặc 1 bản sao được chứng thực từ bản chính. Trường hợp các giấy tờ của nước ngoài thì phải được hợp pháp hóa lãnh sự và dịch ra tiếng Việt có chứng thực chữ ký của người dịch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lao động cấp lại cho chuyên gia khoa học công nghệ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87/2014/NĐ-CP</w:t>
            </w:r>
          </w:p>
        </w:tc>
        <w:tc>
          <w:p/>
          <w:p>
            <w:pPr>
              <w:spacing w:after="0" w:before="0" w:lineRule="auto" w:line="276"/>
              <w:jc w:val="left"/>
            </w:pPr>
            <w:r>
              <w:rPr>
                <w:rFonts w:ascii="Times New Roman" w:hAnsi="Times New Roman" w:cs="Times New Roman" w:eastAsia="Times New Roman"/>
                <w:b w:val="false"/>
                <w:sz w:val="26"/>
              </w:rPr>
              <w:t>Nghị định 87/2014/NĐ-CP - Quy định về thu hút cá nhân hoạt động khoa học và công nghệ là người Việt Nam ở nước ngoài và chuyên gia nước ngoài tham gia hoạt động khoa học và công nghệ tại Việt Nam</w:t>
            </w:r>
          </w:p>
        </w:tc>
        <w:tc>
          <w:p/>
          <w:p>
            <w:pPr>
              <w:spacing w:after="0" w:before="0" w:lineRule="auto" w:line="276"/>
              <w:jc w:val="left"/>
            </w:pPr>
            <w:r>
              <w:rPr>
                <w:rFonts w:ascii="Times New Roman" w:hAnsi="Times New Roman" w:cs="Times New Roman" w:eastAsia="Times New Roman"/>
                <w:b w:val="false"/>
                <w:sz w:val="26"/>
              </w:rPr>
              <w:t>22-09-2014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24/2015/TT-BLĐTBXH</w:t>
            </w:r>
          </w:p>
        </w:tc>
        <w:tc>
          <w:p/>
          <w:p>
            <w:pPr>
              <w:spacing w:after="0" w:before="0" w:lineRule="auto" w:line="276"/>
              <w:jc w:val="left"/>
            </w:pPr>
            <w:r>
              <w:rPr>
                <w:rFonts w:ascii="Times New Roman" w:hAnsi="Times New Roman" w:cs="Times New Roman" w:eastAsia="Times New Roman"/>
                <w:b w:val="false"/>
                <w:sz w:val="26"/>
              </w:rPr>
              <w:t>Thông tư 24/2015/TT-BLĐTBXH - Quy định chi tiết thi hành khoản 6 Điều 14 của Nghị định số 87/2014/NĐ-CP ngày 22 tháng 9 năm 2014 của Chính phủ về thu hút cá nhân hoạt động khoa học và công nghệ là người Việt Nam ở nước ngoài và chuyên gia nước ngoài tham gia hoạt động khoa học và công nghệ tại Việt Nam</w:t>
            </w:r>
          </w:p>
        </w:tc>
        <w:tc>
          <w:p/>
          <w:p>
            <w:pPr>
              <w:spacing w:after="0" w:before="0" w:lineRule="auto" w:line="276"/>
              <w:jc w:val="left"/>
            </w:pPr>
            <w:r>
              <w:rPr>
                <w:rFonts w:ascii="Times New Roman" w:hAnsi="Times New Roman" w:cs="Times New Roman" w:eastAsia="Times New Roman"/>
                <w:b w:val="false"/>
                <w:sz w:val="26"/>
              </w:rPr>
              <w:t>13-07-2015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2025-11-27T16:45:23Z</dcterms:created>
  <dc:creator>Apache POI</dc:creator>
</cp:coreProperties>
</file>