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2.000913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3152/QĐ-BTP</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Chứng thực việc sửa đổi, bổ sung, hủy bỏ giao dịch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Chứng thực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Người yêu cầu chứng thực xuất trình một trong các giấy tờ sau: Căn cước điện tử; bản chính hoặc bản sao của Thẻ căn cước công dân hoặc Thẻ căn cước hoặc Giấy chứng nhận căn cước hoặc Hộ chiếu hoặc giấy tờ xuất nhập cảnh hoặc giấy tờ có giá trị đi lại quốc tế còn giá trị sử dụng và nộp 01 bộ hồ sơ yêu cầu chứng thực.
+ Việc sửa đổi, bổ sung, hủy bỏ giao dịch đã được chứng thực chỉ được thực hiện khi có thỏa thuận bằng văn bản của các bên tham gia giao dịch.
+ Việc sửa đổi, bổ sung, hủy bỏ giao dịch được thực hiện tại cơ quan đã chứng thực giao dịch. Trường hợp sửa đổi, bổ sung, thay thế, hủy bỏ một phần hoặc toàn bộ di chúc thì có thể chứng thực tại bất kỳ cơ quan có thẩm quyền chứng thực nào; cơ quan đã thực hiện việc sửa đổi, bổ sung, thay thế, hủy bỏ một phần hoặc toàn bộ di chúc phải thông báo bằng văn bản cho cơ quan đã chứng thực trước đây về nội dung sửa đổi, bổ sung, thay thế, hủy bỏ một phần hoặc toàn bộ di chúc để ghi chú vào sổ chứng thực giao dịch.
+ Người thực hiện chứng thực (hoặc người tiếp nhận hồ sơ) kiểm tra giấy tờ trong hồ sơ yêu cầu chứng thực, nếu đầy đủ, tại thời điểm chứng thực các bên tham gia giao dịch tự nguyện, minh mẫn và nhận thức, làm chủ được hành vi của mình thì thực hiện chứng thực.
+ Các bên tham gia giao dịch phải ký trước mặt người thực hiện chứng thực, nếu giao dịch có từ 02 (hai) trang trở lên thì phải ký vào từng trang. Trường hợp người yêu cầu chứng thực nộp hồ sơ tại Trung tâm Phục vụ hành chính công cấp xã thì các bên tham gia giao dịch phải ký trước mặt người tiếp nhận hồ sơ. Trường hợp người có thẩm quyền giao kết hợp đồng của các tổ chức tín dụng, doanh nghiệp đã đăng ký chữ ký mẫu tại cơ quan thực hiện chứng thực thì có thể ký trước vào hợp đồng; người thực hiện chứng thực (hoặc người tiếp nhận hồ sơ) phải đối chiếu chữ ký của họ trong hợp đồng với chữ ký mẫu trước khi thực hiện chứng thực, nếu nghi ngờ chữ ký trong hợp đồng khác với chữ ký mẫu thì yêu cầu người đó ký trước mặt.
+ Trường hợp người yêu cầu chứng thực không ký được thì phải điểm chỉ; nếu người đó không đọc được, không nghe được, không ký, không điểm chỉ được thì phải có 02 (hai) người làm chứng. Người làm chứng phải có đủ năng lực hành vi dân sự và không có quyền, lợi ích hoặc nghĩa vụ liên quan đến giao dịch. Người làm chứng do người yêu cầu chứng thực bố trí. Trường hợp người yêu cầu chứng thực không bố trí được thì đề nghị cơ quan thực hiện chứng thực chỉ định người làm chứng.
+ Người thực hiện chứng thực (hoặc người tiếp nhận hồ sơ) ghi lời chứng tương ứng với từng loại giao dịch theo mẫu quy định. Trường hợp tiếp nhận hồ sơ tại Trung tâm Phục vụ hành chính công cấp xã thì người tiếp nhận hồ sơ ký vào từng trang của giao dịch và ký vào dưới lời chứng theo mẫu quy định.
Người thực hiện chứng thực ký vào từng trang của giao dịch (nếu hồ sơ không được tiếp nhận qua Trung tâm Phục vụ hành chính công cấp xã), ký, ghi rõ họ tên, đóng dấu của cơ quan thực hiện chứng thực và ghi vào sổ chứng thực.
Đối với giao dịch có từ 02 (hai) trang trở lên, thì từng trang phải được đánh số thứ tự, có chữ ký của người yêu cầu chứng thực và người thực hiện chứng thực; số lượng trang và lời chứng được ghi tại trang cuối của giao dịch. Trường hợp giao dịch có từ 02 (hai) tờ trở lên thì phải đóng dấu giáp lai.
+ Trong trường hợp người yêu cầu chứng thực không thông thạo tiếng Việt thì phải có người phiên dịch. Người phiên dịch phải là người có năng lực hành vi dân sự đầy đủ theo quy định của pháp luật, thông thạo tiếng Việt và ngôn ngữ mà người yêu cầu chứng thực sử dụng. Người phiên dịch do người yêu cầu chứng thực mời hoặc do cơ quan thực hiện chứng thực chỉ định. Thù lao phiên dịch do người yêu cầu chứng thực trả. Người phiên dịch có trách nhiệm dịch đầy đủ, chính xác nội dung của giao dịch, nội dung lời chứng cho người yêu cầu chứng thực và ký vào từng trang giao dịch với tư cách là người phiên dịch.
+ Người yêu cầu chứng thực nhận kết quả tại nơi nộp hồ sơ.
+ Người thực hiện chứng thực không yêu cầu người yêu cầu chứng thực nộp, xuất trình bản chính hoặc bản sao các giấy tờ, tài liệu đã được tích hợp trên VNeID khi người yêu cầu chứng thực đã xuất trình thông tin tương ứng từ VNeID. 
+ Trường hợp người yêu cầu chứng thực đề nghị và người thực hiện chứng thực có thể khai thác thông tin, giấy tờ từ Cơ sở dữ liệu quốc gia về dân cư hoặc các cơ sở dữ liệu khác theo quy định của pháp luật thì người thực hiện chứng thực có trách nhiệm thực hiện việc khai thác thông tin, giấy tờ từ các cơ sở dữ liệu này, không yêu cầu người yêu cầu chứng thực xuất trình bản chính, bản sao từ sổ gốc hoặc bản sao có chứng thực đối với các thông tin, giấy tờ đã được khai thác.</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Thời hạn thực hiện yêu cầu chứng thực là ngay trong ngày cơ quan, tổ chức tiếp nhận yêu cầu hoặc trong ngày làm việc tiếp theo, nếu tiếp nhận yêu cầu sau 15 giờ. Trường hợp trả kết quả trong ngày làm việc tiếp theo thì người tiếp nhận hồ sơ phải có phiếu hẹn ghi rõ thời gian (giờ, ngày) trả kết quả cho người yêu cầu chứng thực. </w:t>
            </w:r>
          </w:p>
        </w:tc>
        <w:tc>
          <w:p/>
          <w:p>
            <w:pPr>
              <w:spacing w:after="0" w:before="0" w:lineRule="auto" w:line="276"/>
              <w:jc w:val="left"/>
            </w:pPr>
            <w:r>
              <w:rPr>
                <w:rFonts w:ascii="Times New Roman" w:hAnsi="Times New Roman" w:cs="Times New Roman" w:eastAsia="Times New Roman"/>
                <w:b w:val="false"/>
                <w:sz w:val="26"/>
              </w:rPr>
              <w:t>Phí : 30.000 Đồng</w:t>
              <w:t xml:space="preserve"> (30.000 đồng/giao dịch.)</w:t>
            </w:r>
          </w:p>
        </w:tc>
        <w:tc>
          <w:p/>
          <w:p>
            <w:pPr>
              <w:spacing w:after="0" w:before="0" w:lineRule="auto" w:line="276"/>
              <w:jc w:val="left"/>
            </w:pPr>
            <w:r>
              <w:rPr>
                <w:rFonts w:ascii="Times New Roman" w:hAnsi="Times New Roman" w:cs="Times New Roman" w:eastAsia="Times New Roman"/>
                <w:b w:val="false"/>
                <w:sz w:val="26"/>
              </w:rPr>
              <w:t>Nộp trực tiếp hoặc qua dịch vụ bưu chính hoặc trực tuyến trên môi trường điện tử.</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Thời hạn thực hiện yêu cầu chứng thực là ngay trong ngày cơ quan, tổ chức tiếp nhận yêu cầu hoặc trong ngày làm việc tiếp theo, nếu tiếp nhận yêu cầu sau 15 giờ. Trường hợp trả kết quả trong ngày làm việc tiếp theo thì người tiếp nhận hồ sơ phải có phiếu hẹn ghi rõ thời gian (giờ, ngày) trả kết quả cho người yêu cầu chứng thực. </w:t>
            </w:r>
          </w:p>
        </w:tc>
        <w:tc>
          <w:p/>
          <w:p>
            <w:pPr>
              <w:spacing w:after="0" w:before="0" w:lineRule="auto" w:line="276"/>
              <w:jc w:val="left"/>
            </w:pPr>
            <w:r>
              <w:rPr>
                <w:rFonts w:ascii="Times New Roman" w:hAnsi="Times New Roman" w:cs="Times New Roman" w:eastAsia="Times New Roman"/>
                <w:b w:val="false"/>
                <w:sz w:val="26"/>
              </w:rPr>
              <w:t>Phí : 30.000 Đồng</w:t>
              <w:t xml:space="preserve"> (30.000 đồng/giao dịch.)</w:t>
            </w:r>
          </w:p>
        </w:tc>
        <w:tc>
          <w:p/>
          <w:p>
            <w:pPr>
              <w:spacing w:after="0" w:before="0" w:lineRule="auto" w:line="276"/>
              <w:jc w:val="left"/>
            </w:pPr>
            <w:r>
              <w:rPr>
                <w:rFonts w:ascii="Times New Roman" w:hAnsi="Times New Roman" w:cs="Times New Roman" w:eastAsia="Times New Roman"/>
                <w:b w:val="false"/>
                <w:sz w:val="26"/>
              </w:rPr>
              <w:t>Nộp trực tiếp hoặc qua dịch vụ bưu chính hoặc trực tuyến trên môi trường điện tử.</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Thời hạn thực hiện yêu cầu chứng thực là ngay trong ngày cơ quan, tổ chức tiếp nhận yêu cầu hoặc trong ngày làm việc tiếp theo, nếu tiếp nhận yêu cầu sau 15 giờ. Trường hợp trả kết quả trong ngày làm việc tiếp theo thì người tiếp nhận hồ sơ phải có phiếu hẹn ghi rõ thời gian (giờ, ngày) trả kết quả cho người yêu cầu chứng thực. </w:t>
            </w:r>
          </w:p>
        </w:tc>
        <w:tc>
          <w:p/>
          <w:p>
            <w:pPr>
              <w:spacing w:after="0" w:before="0" w:lineRule="auto" w:line="276"/>
              <w:jc w:val="left"/>
            </w:pPr>
            <w:r>
              <w:rPr>
                <w:rFonts w:ascii="Times New Roman" w:hAnsi="Times New Roman" w:cs="Times New Roman" w:eastAsia="Times New Roman"/>
                <w:b w:val="false"/>
                <w:sz w:val="26"/>
              </w:rPr>
              <w:t>Phí : 30.000 Đồng</w:t>
              <w:t xml:space="preserve"> (30.000 đồng/giao dịch.)</w:t>
            </w:r>
          </w:p>
        </w:tc>
        <w:tc>
          <w:p/>
          <w:p>
            <w:pPr>
              <w:spacing w:after="0" w:before="0" w:lineRule="auto" w:line="276"/>
              <w:jc w:val="left"/>
            </w:pPr>
            <w:r>
              <w:rPr>
                <w:rFonts w:ascii="Times New Roman" w:hAnsi="Times New Roman" w:cs="Times New Roman" w:eastAsia="Times New Roman"/>
                <w:b w:val="false"/>
                <w:sz w:val="26"/>
              </w:rPr>
              <w:t>Nộp trực tiếp hoặc qua dịch vụ bưu chính hoặc trực tuyến trên môi trường điện tử.</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Người yêu cầu chứng thực nộp 01 (một) bộ hồ sơ yêu cầu chứng thực, gồm các giấy tờ sau đây:</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Giao dịch đã được chứng thực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Dự thảo giao dịch sửa đổi, bổ sung, hủy bỏ giao dịch đã được chứng thực. Trong trường hợp nội dung sửa đổi, bổ sung, hủy bỏ giao dịch có liên quan đến tài sản phải đăng ký quyền sở hữu, quyền sử dụng thì người yêu cầu chứng thực phải nộp bản sao giấy tờ chứng minh quyền sở hữu, quyền sử dụng hoặc giấy tờ thay thế được pháp luật quy định và xuất trình bản chính để đối chiếu; trừ trường hợp người lập di chúc đang bị cái chết đe dọa đến tính mạng.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Cán bộ, công chức, viên chức, Doanh nghiệp, Doanh nghiệp có vốn đầu tư nước ngoài,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xã</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Giao dịch được chứng thực</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23/2015/NĐ-CP</w:t>
            </w:r>
          </w:p>
        </w:tc>
        <w:tc>
          <w:p/>
          <w:p>
            <w:pPr>
              <w:spacing w:after="0" w:before="0" w:lineRule="auto" w:line="276"/>
              <w:jc w:val="left"/>
            </w:pPr>
            <w:r>
              <w:rPr>
                <w:rFonts w:ascii="Times New Roman" w:hAnsi="Times New Roman" w:cs="Times New Roman" w:eastAsia="Times New Roman"/>
                <w:b w:val="false"/>
                <w:sz w:val="26"/>
              </w:rPr>
              <w:t>Nghị định 23/2015/NĐ-CP</w:t>
            </w:r>
          </w:p>
        </w:tc>
        <w:tc>
          <w:p/>
          <w:p>
            <w:pPr>
              <w:spacing w:after="0" w:before="0" w:lineRule="auto" w:line="276"/>
              <w:jc w:val="left"/>
            </w:pPr>
            <w:r>
              <w:rPr>
                <w:rFonts w:ascii="Times New Roman" w:hAnsi="Times New Roman" w:cs="Times New Roman" w:eastAsia="Times New Roman"/>
                <w:b w:val="false"/>
                <w:sz w:val="26"/>
              </w:rPr>
              <w:t>16-02-2015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	226/2016/TT-BTC</w:t>
            </w:r>
          </w:p>
        </w:tc>
        <w:tc>
          <w:p/>
          <w:p>
            <w:pPr>
              <w:spacing w:after="0" w:before="0" w:lineRule="auto" w:line="276"/>
              <w:jc w:val="left"/>
            </w:pPr>
            <w:r>
              <w:rPr>
                <w:rFonts w:ascii="Times New Roman" w:hAnsi="Times New Roman" w:cs="Times New Roman" w:eastAsia="Times New Roman"/>
                <w:b w:val="false"/>
                <w:sz w:val="26"/>
              </w:rPr>
              <w:t>Thông tư 	226/2016/TT-BTC</w:t>
            </w:r>
          </w:p>
        </w:tc>
        <w:tc>
          <w:p/>
          <w:p>
            <w:pPr>
              <w:spacing w:after="0" w:before="0" w:lineRule="auto" w:line="276"/>
              <w:jc w:val="left"/>
            </w:pPr>
            <w:r>
              <w:rPr>
                <w:rFonts w:ascii="Times New Roman" w:hAnsi="Times New Roman" w:cs="Times New Roman" w:eastAsia="Times New Roman"/>
                <w:b w:val="false"/>
                <w:sz w:val="26"/>
              </w:rPr>
              <w:t>11-11-2016</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01/2020/TT-BTP</w:t>
            </w:r>
          </w:p>
        </w:tc>
        <w:tc>
          <w:p/>
          <w:p>
            <w:pPr>
              <w:spacing w:after="0" w:before="0" w:lineRule="auto" w:line="276"/>
              <w:jc w:val="left"/>
            </w:pPr>
            <w:r>
              <w:rPr>
                <w:rFonts w:ascii="Times New Roman" w:hAnsi="Times New Roman" w:cs="Times New Roman" w:eastAsia="Times New Roman"/>
                <w:b w:val="false"/>
                <w:sz w:val="26"/>
              </w:rPr>
              <w:t>Thông tư 01/2020/TT-BTP</w:t>
            </w:r>
          </w:p>
        </w:tc>
        <w:tc>
          <w:p/>
          <w:p>
            <w:pPr>
              <w:spacing w:after="0" w:before="0" w:lineRule="auto" w:line="276"/>
              <w:jc w:val="left"/>
            </w:pPr>
            <w:r>
              <w:rPr>
                <w:rFonts w:ascii="Times New Roman" w:hAnsi="Times New Roman" w:cs="Times New Roman" w:eastAsia="Times New Roman"/>
                <w:b w:val="false"/>
                <w:sz w:val="26"/>
              </w:rPr>
              <w:t>03-03-2020</w:t>
            </w:r>
          </w:p>
        </w:tc>
        <w:tc>
          <w:p/>
        </w:tc>
      </w:tr>
      <w:tr>
        <w:tc>
          <w:p/>
          <w:p>
            <w:pPr>
              <w:spacing w:after="0" w:before="0" w:lineRule="auto" w:line="276"/>
              <w:jc w:val="left"/>
            </w:pPr>
            <w:r>
              <w:rPr>
                <w:rFonts w:ascii="Times New Roman" w:hAnsi="Times New Roman" w:cs="Times New Roman" w:eastAsia="Times New Roman"/>
                <w:b w:val="false"/>
                <w:sz w:val="26"/>
              </w:rPr>
              <w:t>280/2025/NĐ-CP</w:t>
            </w:r>
          </w:p>
        </w:tc>
        <w:tc>
          <w:p/>
          <w:p>
            <w:pPr>
              <w:spacing w:after="0" w:before="0" w:lineRule="auto" w:line="276"/>
              <w:jc w:val="left"/>
            </w:pPr>
            <w:r>
              <w:rPr>
                <w:rFonts w:ascii="Times New Roman" w:hAnsi="Times New Roman" w:cs="Times New Roman" w:eastAsia="Times New Roman"/>
                <w:b w:val="false"/>
                <w:sz w:val="26"/>
              </w:rPr>
              <w:t>Nghị định số 280/2025/NĐ-CP sửa đổi, bổ sung một số điều của Nghị định số 23/2015/NĐ-CP về cấp bản sao từ sổ gốc, chứng thực bản sao từ bản chính, chứng thực chữ ký và chứng thực hợp đồng, giao dịch, được sửa đổi, bổ sung bởi Nghị định số 07/2025/NĐ-CP</w:t>
            </w:r>
          </w:p>
        </w:tc>
        <w:tc>
          <w:p/>
          <w:p>
            <w:pPr>
              <w:spacing w:after="0" w:before="0" w:lineRule="auto" w:line="276"/>
              <w:jc w:val="left"/>
            </w:pPr>
            <w:r>
              <w:rPr>
                <w:rFonts w:ascii="Times New Roman" w:hAnsi="Times New Roman" w:cs="Times New Roman" w:eastAsia="Times New Roman"/>
                <w:b w:val="false"/>
                <w:sz w:val="26"/>
              </w:rPr>
              <w:t>27-10-2025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Việc sửa đổi, bổ sung, hủy bỏ giao dịch đã được chứng thực chỉ được thực hiện khi có thỏa thuận bằng văn bản của các bên tham gia giao dịch.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https://thutuc.dichvucong.gov.vn/p/home/dvc-tthc-thu-tuc-hanh-chinh-chi-tiet.html?ma_thu_tuc=3014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2025-11-27T16:45:47Z</dcterms:created>
  <dc:creator>Apache POI</dc:creator>
</cp:coreProperties>
</file>