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3339/QĐ-NHCS</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thu tiền mặt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 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Khách hàng lập chứng từ nộp tiền vào NHCSXH nơi thực hiện thủ tục (Giấy nộp tiền kèm Bảng kê các loại tiền nộp) theo mẫu quy định gửi NHCSXH nơi thực hiện thủ tục.</w:t>
      </w:r>
    </w:p>
    <w:p>
      <w:pPr>
        <w:spacing w:after="0" w:before="0" w:lineRule="auto" w:line="276"/>
        <w:jc w:val="both"/>
      </w:pPr>
      <w:r>
        <w:rPr>
          <w:rFonts w:ascii="Times New Roman" w:hAnsi="Times New Roman" w:cs="Times New Roman" w:eastAsia="Times New Roman"/>
          <w:b w:val="false"/>
          <w:sz w:val="26"/>
        </w:rPr>
        <w:t xml:space="preserve">Bước 2: NHCSXH nơi thực hiện thủ tục tiếp nhận chứng từ, kiểm tra các thông tin trên chứng từ. Nếu đầy đủ các thông tin, đảm bảo yếu tố pháp lý thì chuyển thủ quỹ ngân hàng thu tiền theo chứng từ nộp tiền.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Ngay sau khi nhận được chứng từ đủ điều kiện.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tiếp tại trụ sở NHCSXH nơi thực hiện thủ tục.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Bảng kê các loại tiền nộp	</w:t>
            </w:r>
          </w:p>
        </w:tc>
        <w:tc>
          <w:p/>
          <w:p>
            <w:pPr>
              <w:spacing w:after="0" w:before="0" w:lineRule="auto" w:line="276"/>
              <w:jc w:val="left"/>
            </w:pPr>
            <w:r>
              <w:rPr>
                <w:rFonts w:ascii="Times New Roman" w:hAnsi="Times New Roman" w:cs="Times New Roman" w:eastAsia="Times New Roman"/>
                <w:b w:val="false"/>
                <w:sz w:val="26"/>
              </w:rPr>
              <w:t>Mau so C19a_bangke nop tien.doc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nộp tiền (02 liên)</w:t>
            </w:r>
          </w:p>
        </w:tc>
        <w:tc>
          <w:p/>
          <w:p>
            <w:pPr>
              <w:spacing w:after="0" w:before="0" w:lineRule="auto" w:line="276"/>
              <w:jc w:val="left"/>
            </w:pPr>
            <w:r>
              <w:rPr>
                <w:rFonts w:ascii="Times New Roman" w:hAnsi="Times New Roman" w:cs="Times New Roman" w:eastAsia="Times New Roman"/>
                <w:b w:val="false"/>
                <w:sz w:val="26"/>
              </w:rPr>
              <w:t>10-KT (Giấy nộp tiền).doc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Chính sách xã hội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Tiền nộp vào ngân hàng và được ghi Có vào các tài khoản thích hợp của khách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64/2001/NĐ-CP</w:t>
            </w:r>
          </w:p>
        </w:tc>
        <w:tc>
          <w:p/>
          <w:p>
            <w:pPr>
              <w:spacing w:after="0" w:before="0" w:lineRule="auto" w:line="276"/>
              <w:jc w:val="left"/>
            </w:pPr>
            <w:r>
              <w:rPr>
                <w:rFonts w:ascii="Times New Roman" w:hAnsi="Times New Roman" w:cs="Times New Roman" w:eastAsia="Times New Roman"/>
                <w:b w:val="false"/>
                <w:sz w:val="26"/>
              </w:rPr>
              <w:t>Về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20-09-2001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226/2002/QĐ-NHNN</w:t>
            </w:r>
          </w:p>
        </w:tc>
        <w:tc>
          <w:p/>
          <w:p>
            <w:pPr>
              <w:spacing w:after="0" w:before="0" w:lineRule="auto" w:line="276"/>
              <w:jc w:val="left"/>
            </w:pPr>
            <w:r>
              <w:rPr>
                <w:rFonts w:ascii="Times New Roman" w:hAnsi="Times New Roman" w:cs="Times New Roman" w:eastAsia="Times New Roman"/>
                <w:b w:val="false"/>
                <w:sz w:val="26"/>
              </w:rPr>
              <w:t>Về việc ban hành Quy chế Hoạt động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26-03-2002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1092/2002/QĐ-NHNN</w:t>
            </w:r>
          </w:p>
        </w:tc>
        <w:tc>
          <w:p/>
          <w:p>
            <w:pPr>
              <w:spacing w:after="0" w:before="0" w:lineRule="auto" w:line="276"/>
              <w:jc w:val="left"/>
            </w:pPr>
            <w:r>
              <w:rPr>
                <w:rFonts w:ascii="Times New Roman" w:hAnsi="Times New Roman" w:cs="Times New Roman" w:eastAsia="Times New Roman"/>
                <w:b w:val="false"/>
                <w:sz w:val="26"/>
              </w:rPr>
              <w:t>Về việc ban hành Quy định thủ tục thanh toán qua các tổ chức cung ứng dịch vụ thanh toán</w:t>
            </w:r>
          </w:p>
        </w:tc>
        <w:tc>
          <w:p/>
          <w:p>
            <w:pPr>
              <w:spacing w:after="0" w:before="0" w:lineRule="auto" w:line="276"/>
              <w:jc w:val="left"/>
            </w:pPr>
            <w:r>
              <w:rPr>
                <w:rFonts w:ascii="Times New Roman" w:hAnsi="Times New Roman" w:cs="Times New Roman" w:eastAsia="Times New Roman"/>
                <w:b w:val="false"/>
                <w:sz w:val="26"/>
              </w:rPr>
              <w:t>08-10-2002</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16/2003/QĐ-TTg	</w:t>
            </w:r>
          </w:p>
        </w:tc>
        <w:tc>
          <w:p/>
          <w:p>
            <w:pPr>
              <w:spacing w:after="0" w:before="0" w:lineRule="auto" w:line="276"/>
              <w:jc w:val="left"/>
            </w:pPr>
            <w:r>
              <w:rPr>
                <w:rFonts w:ascii="Times New Roman" w:hAnsi="Times New Roman" w:cs="Times New Roman" w:eastAsia="Times New Roman"/>
                <w:b w:val="false"/>
                <w:sz w:val="26"/>
              </w:rPr>
              <w:t>Về việc phê duyệt Điều lệ về tổ chức và hoạt động của Ngân hàng Chính sách xã hội</w:t>
            </w:r>
          </w:p>
        </w:tc>
        <w:tc>
          <w:p/>
          <w:p>
            <w:pPr>
              <w:spacing w:after="0" w:before="0" w:lineRule="auto" w:line="276"/>
              <w:jc w:val="left"/>
            </w:pPr>
            <w:r>
              <w:rPr>
                <w:rFonts w:ascii="Times New Roman" w:hAnsi="Times New Roman" w:cs="Times New Roman" w:eastAsia="Times New Roman"/>
                <w:b w:val="false"/>
                <w:sz w:val="26"/>
              </w:rPr>
              <w:t>22-01-2003</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122/NHCS-KT</w:t>
            </w:r>
          </w:p>
        </w:tc>
        <w:tc>
          <w:p/>
          <w:p>
            <w:pPr>
              <w:spacing w:after="0" w:before="0" w:lineRule="auto" w:line="276"/>
              <w:jc w:val="left"/>
            </w:pPr>
            <w:r>
              <w:rPr>
                <w:rFonts w:ascii="Times New Roman" w:hAnsi="Times New Roman" w:cs="Times New Roman" w:eastAsia="Times New Roman"/>
                <w:b w:val="false"/>
                <w:sz w:val="26"/>
              </w:rPr>
              <w:t>V/v hướng dẫn nghiệp vụ thanh toán trong hệ thống NHCSXH</w:t>
            </w:r>
          </w:p>
        </w:tc>
        <w:tc>
          <w:p/>
          <w:p>
            <w:pPr>
              <w:spacing w:after="0" w:before="0" w:lineRule="auto" w:line="276"/>
              <w:jc w:val="left"/>
            </w:pPr>
            <w:r>
              <w:rPr>
                <w:rFonts w:ascii="Times New Roman" w:hAnsi="Times New Roman" w:cs="Times New Roman" w:eastAsia="Times New Roman"/>
                <w:b w:val="false"/>
                <w:sz w:val="26"/>
              </w:rPr>
              <w:t>10-03-2003</w:t>
            </w:r>
          </w:p>
        </w:tc>
        <w:tc>
          <w:p/>
          <w:p>
            <w:pPr>
              <w:spacing w:after="0" w:before="0" w:lineRule="auto" w:line="276"/>
              <w:jc w:val="left"/>
            </w:pPr>
            <w:r>
              <w:rPr>
                <w:rFonts w:ascii="Times New Roman" w:hAnsi="Times New Roman" w:cs="Times New Roman" w:eastAsia="Times New Roman"/>
                <w:b w:val="false"/>
                <w:sz w:val="26"/>
              </w:rPr>
              <w:t>Ngân hàng Chính sách xã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2025-11-27T16:45:59Z</dcterms:created>
  <dc:creator>Apache POI</dc:creator>
</cp:coreProperties>
</file>