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lỗi sai sót trong giao dịch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xuất trình một trong các giấy tờ sau: Căn cước điện tử; bản chính hoặc bản sao của Thẻ căn cước công dân hoặc Thẻ căn cước hoặc Giấy chứng nhận căn cước hoặc Hộ chiếu hoặc giấy tờ xuất nhập cảnh hoặc giấy tờ có giá trị đi lại quốc tế còn giá trị sử dụng và nộp 01 bộ hồ sơ yêu cầu chứng thực.
+ Việc sửa lỗi sai sót trong khi ghi chép, đánh máy, in giao dịch đã được chứng thực được thực hiện theo thỏa thuận bằng văn bản của các bên tham gia giao dịch, nếu không làm ảnh hưởng đến quyền, nghĩa vụ của các bên và được thực hiện tại cơ quan đã chứng thực giao dịch.
+ Người thực hiện chứng thực gạch chân lỗi sai sót cần sửa, đóng dấu của cơ quan thực hiện chứng thực và ghi vào bên lề của giao dịch nội dung đã sửa, họ tên, chữ ký của người sửa, ngày tháng năm sửa.
+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 
+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25.000 Đồng</w:t>
              <w:t xml:space="preserve"> (25.000 đồng/giao dịch)</w:t>
            </w:r>
          </w:p>
        </w:tc>
        <w:tc>
          <w:p/>
          <w:p>
            <w:pPr>
              <w:spacing w:after="0" w:before="0" w:lineRule="auto" w:line="276"/>
              <w:jc w:val="left"/>
            </w:pPr>
            <w:r>
              <w:rPr>
                <w:rFonts w:ascii="Times New Roman" w:hAnsi="Times New Roman" w:cs="Times New Roman" w:eastAsia="Times New Roman"/>
                <w:b w:val="false"/>
                <w:sz w:val="26"/>
              </w:rPr>
              <w:t>Nộp trực tiếp hoặc qua dịch vụ bưu chính hoặc trực tuyến trên môi trường điện tử, kết quả được trả trực tiếp hoặc qua dịch vụ bưu chính công ích (đã đủ điều kiện thực hiện dịch vụ công trực tuyến toàn trình).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25.000 Đồng</w:t>
              <w:t xml:space="preserve"> (25.000 đồng/giao dịch.)</w:t>
            </w:r>
          </w:p>
        </w:tc>
        <w:tc>
          <w:p/>
          <w:p>
            <w:pPr>
              <w:spacing w:after="0" w:before="0" w:lineRule="auto" w:line="276"/>
              <w:jc w:val="left"/>
            </w:pPr>
            <w:r>
              <w:rPr>
                <w:rFonts w:ascii="Times New Roman" w:hAnsi="Times New Roman" w:cs="Times New Roman" w:eastAsia="Times New Roman"/>
                <w:b w:val="false"/>
                <w:sz w:val="26"/>
              </w:rPr>
              <w:t>Nộp trực tiếp hoặc qua dịch vụ bưu chính hoặc trực tuyến trên môi trường điện tử, kết quả được trả trực tiếp hoặc qua dịch vụ bưu chính công ích (đã đủ điều kiện thực hiện dịch vụ công trực tuyến toàn trình).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25.000 Đồng</w:t>
              <w:t xml:space="preserve"> (25.000 đồng/giao dịch.)</w:t>
            </w:r>
          </w:p>
        </w:tc>
        <w:tc>
          <w:p/>
          <w:p>
            <w:pPr>
              <w:spacing w:after="0" w:before="0" w:lineRule="auto" w:line="276"/>
              <w:jc w:val="left"/>
            </w:pPr>
            <w:r>
              <w:rPr>
                <w:rFonts w:ascii="Times New Roman" w:hAnsi="Times New Roman" w:cs="Times New Roman" w:eastAsia="Times New Roman"/>
                <w:b w:val="false"/>
                <w:sz w:val="26"/>
              </w:rPr>
              <w:t>Nộp trực tiếp hoặc qua dịch vụ bưu chính hoặc trực tuyến trên môi trường điện tử, kết quả được trả trực tiếp hoặc qua dịch vụ bưu chính công ích (đã đủ điều kiện thực hiện dịch vụ công trực tuyến toàn trình).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yêu cầu chứng thực nộp 01 (một) bộ hồ sơ yêu cầu chứng thực, gồm các giấy tờ sau đây:</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thỏa thuận về việc sửa lỗi sai sót trong giao dịch đã được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Giao dịch đã  được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Giao dịch được sửa lỗi sai sót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226/2016/TT-BTC</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2025-11-27T16:46:05Z</dcterms:created>
  <dc:creator>Apache POI</dc:creator>
</cp:coreProperties>
</file>