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522E" w:rsidRDefault="008F7BF2">
      <w:pPr>
        <w:spacing w:after="300" w:line="276" w:lineRule="auto"/>
        <w:jc w:val="center"/>
      </w:pPr>
      <w:r>
        <w:rPr>
          <w:rFonts w:ascii="Times New Roman" w:eastAsia="Times New Roman" w:hAnsi="Times New Roman" w:cs="Times New Roman"/>
          <w:b/>
          <w:sz w:val="26"/>
        </w:rPr>
        <w:t>Chi tiết thủ tục hành chính</w:t>
      </w:r>
    </w:p>
    <w:p w:rsidR="0010522E" w:rsidRDefault="008F7BF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2.000928</w:t>
      </w:r>
    </w:p>
    <w:p w:rsidR="0010522E" w:rsidRDefault="008F7BF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2710/QĐ-NHNN</w:t>
      </w:r>
    </w:p>
    <w:p w:rsidR="0010522E" w:rsidRDefault="008F7BF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chấp thuận cho tổ chức tín dụng, chi nhánh ngân hàng nước ngoài cho vay bằng ngoại tệ đối với từng trường hợp cụ thể</w:t>
      </w:r>
    </w:p>
    <w:p w:rsidR="0010522E" w:rsidRDefault="008F7BF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0522E" w:rsidRDefault="008F7BF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10522E" w:rsidRDefault="008F7BF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Hoạt động tiền tệ</w:t>
      </w:r>
    </w:p>
    <w:p w:rsidR="0010522E" w:rsidRDefault="008F7BF2">
      <w:pPr>
        <w:spacing w:after="0" w:line="276" w:lineRule="auto"/>
        <w:jc w:val="both"/>
      </w:pPr>
      <w:r>
        <w:rPr>
          <w:rFonts w:ascii="Times New Roman" w:eastAsia="Times New Roman" w:hAnsi="Times New Roman" w:cs="Times New Roman"/>
          <w:b/>
          <w:sz w:val="26"/>
        </w:rPr>
        <w:t xml:space="preserve">Trình tự thực hiện: </w:t>
      </w:r>
    </w:p>
    <w:p w:rsidR="0010522E" w:rsidRDefault="0010522E">
      <w:pPr>
        <w:shd w:val="clear" w:color="auto" w:fill="F2F6F9"/>
        <w:spacing w:before="120" w:after="0" w:line="276" w:lineRule="auto"/>
        <w:jc w:val="both"/>
      </w:pPr>
    </w:p>
    <w:p w:rsidR="0010522E" w:rsidRDefault="008F7BF2">
      <w:pPr>
        <w:spacing w:after="0" w:line="276" w:lineRule="auto"/>
        <w:jc w:val="both"/>
      </w:pPr>
      <w:r>
        <w:rPr>
          <w:rFonts w:ascii="Times New Roman" w:eastAsia="Times New Roman" w:hAnsi="Times New Roman" w:cs="Times New Roman"/>
          <w:sz w:val="26"/>
        </w:rPr>
        <w:t xml:space="preserve"> + Bước 1: Khi có nhu cầu cho vay bằng ngoại tệ, tổ chức tín dụng, chi nhánh ngân hàng nước ngoài có văn bản đề nghị chấp thuận cho vay bằng ngoại tệ theo quy định gửi về Ngân hàng Nhà nước Việt Nam;</w:t>
      </w:r>
    </w:p>
    <w:p w:rsidR="0010522E" w:rsidRDefault="008F7BF2">
      <w:pPr>
        <w:spacing w:after="0" w:line="276" w:lineRule="auto"/>
        <w:jc w:val="both"/>
      </w:pPr>
      <w:r>
        <w:rPr>
          <w:rFonts w:ascii="Times New Roman" w:eastAsia="Times New Roman" w:hAnsi="Times New Roman" w:cs="Times New Roman"/>
          <w:sz w:val="26"/>
        </w:rPr>
        <w:t>+ Bước 2: Trong thời hạn tối đa 30 ngày (ba mươi) ngày làm việc kể từ ngày nhận được văn bản đề nghị chấp thuận cho vay bằng ngoại tệ của tổ chức tín dụng, chi nhánh ngân hàng nước ngoài có đầy đủ thông tin, căn cứ quy định tại các Nghị quyết, Nghị định, Quyết định, Chỉ thị và các văn bản khác của Chính phủ, Thủ tướng Chính phủ về các lĩnh vực ưu tiên, khuyến khích phát triển sản xuất, kinh doanh, diễn biến thị trường ngoại hối, mục tiêu điều hành chính sách tiền tệ, các quy định tại Thông tư này và nội dun</w:t>
      </w:r>
      <w:r>
        <w:rPr>
          <w:rFonts w:ascii="Times New Roman" w:eastAsia="Times New Roman" w:hAnsi="Times New Roman" w:cs="Times New Roman"/>
          <w:sz w:val="26"/>
        </w:rPr>
        <w:t>g văn bản đề nghị của tổ chức tín dụng, chi nhánh ngân hàng nước ngoài,Ngân hàng Nhà nước Việt Nam gửi văn bản thông báo chấp thuận hoặc từ chối chấp thuận việc tổ chức tín dụng, chi nhánh ngân hàng nước ngoài cho vay bằng ngoại tệ.</w:t>
      </w:r>
    </w:p>
    <w:p w:rsidR="0010522E" w:rsidRDefault="008F7BF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09"/>
        <w:gridCol w:w="1052"/>
        <w:gridCol w:w="1378"/>
        <w:gridCol w:w="5972"/>
      </w:tblGrid>
      <w:tr w:rsidR="0010522E">
        <w:tblPrEx>
          <w:tblCellMar>
            <w:top w:w="0" w:type="dxa"/>
            <w:bottom w:w="0" w:type="dxa"/>
          </w:tblCellMar>
        </w:tblPrEx>
        <w:tc>
          <w:tcPr>
            <w:tcW w:w="15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Hình thức nộp</w:t>
            </w:r>
          </w:p>
        </w:tc>
        <w:tc>
          <w:tcPr>
            <w:tcW w:w="20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Phí, lệ phí</w:t>
            </w:r>
          </w:p>
        </w:tc>
        <w:tc>
          <w:tcPr>
            <w:tcW w:w="30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Mô tả</w:t>
            </w:r>
          </w:p>
        </w:tc>
      </w:tr>
      <w:tr w:rsidR="0010522E">
        <w:tblPrEx>
          <w:tblCellMar>
            <w:top w:w="0" w:type="dxa"/>
            <w:bottom w:w="0" w:type="dxa"/>
          </w:tblCellMar>
        </w:tblPrEx>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Trực tiếp</w:t>
            </w:r>
          </w:p>
        </w:tc>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30 Ngày làm việc</w:t>
            </w:r>
          </w:p>
        </w:tc>
        <w:tc>
          <w:tcPr>
            <w:tcW w:w="0" w:type="auto"/>
          </w:tcPr>
          <w:p w:rsidR="0010522E" w:rsidRDefault="0010522E"/>
          <w:p w:rsidR="0010522E" w:rsidRDefault="0010522E">
            <w:pPr>
              <w:spacing w:after="0" w:line="276" w:lineRule="auto"/>
            </w:pPr>
          </w:p>
        </w:tc>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30 ngày (ba mươi) làm việc kể từ ngày nhận được văn bản đề nghị chấp thuận cho vay bằng ngoại tệ của tổ chức tín dụng, chi nhánh ngân hàng nước ngoài có đầy đủ thông tin</w:t>
            </w:r>
          </w:p>
        </w:tc>
      </w:tr>
      <w:tr w:rsidR="0010522E">
        <w:tblPrEx>
          <w:tblCellMar>
            <w:top w:w="0" w:type="dxa"/>
            <w:bottom w:w="0" w:type="dxa"/>
          </w:tblCellMar>
        </w:tblPrEx>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30 Ngày làm việc</w:t>
            </w:r>
          </w:p>
        </w:tc>
        <w:tc>
          <w:tcPr>
            <w:tcW w:w="0" w:type="auto"/>
          </w:tcPr>
          <w:p w:rsidR="0010522E" w:rsidRDefault="0010522E"/>
          <w:p w:rsidR="0010522E" w:rsidRDefault="0010522E">
            <w:pPr>
              <w:spacing w:after="0" w:line="276" w:lineRule="auto"/>
            </w:pPr>
          </w:p>
        </w:tc>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 xml:space="preserve">30 ngày (ba mươi) làm việc kể từ ngày nhận được văn bản đề nghị chấp thuận cho vay bằng ngoại tệ của tổ </w:t>
            </w:r>
            <w:r>
              <w:rPr>
                <w:rFonts w:ascii="Times New Roman" w:eastAsia="Times New Roman" w:hAnsi="Times New Roman" w:cs="Times New Roman"/>
                <w:sz w:val="26"/>
              </w:rPr>
              <w:lastRenderedPageBreak/>
              <w:t>chức tín dụng, chi nhánh ngân hàng nước ngoài có đầy đủ thông tin</w:t>
            </w:r>
          </w:p>
        </w:tc>
      </w:tr>
    </w:tbl>
    <w:p w:rsidR="0010522E" w:rsidRDefault="008F7BF2">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10522E" w:rsidRDefault="008F7BF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5"/>
        <w:gridCol w:w="852"/>
        <w:gridCol w:w="954"/>
      </w:tblGrid>
      <w:tr w:rsidR="0010522E">
        <w:tblPrEx>
          <w:tblCellMar>
            <w:top w:w="0" w:type="dxa"/>
            <w:bottom w:w="0" w:type="dxa"/>
          </w:tblCellMar>
        </w:tblPrEx>
        <w:tc>
          <w:tcPr>
            <w:tcW w:w="60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Tên giấy tờ</w:t>
            </w:r>
          </w:p>
        </w:tc>
        <w:tc>
          <w:tcPr>
            <w:tcW w:w="20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Mẫu đơn, tờ khai</w:t>
            </w:r>
          </w:p>
        </w:tc>
        <w:tc>
          <w:tcPr>
            <w:tcW w:w="20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Số lượng</w:t>
            </w:r>
          </w:p>
        </w:tc>
      </w:tr>
      <w:tr w:rsidR="0010522E">
        <w:tblPrEx>
          <w:tblCellMar>
            <w:top w:w="0" w:type="dxa"/>
            <w:bottom w:w="0" w:type="dxa"/>
          </w:tblCellMar>
        </w:tblPrEx>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Văn bản đề nghị chấp thuận cho vay bằng ngoại tệ của tổ chức tín dụng, chi nhánh ngân hàng nước ngoài (01 bản) gồm các nội dung chủ yếu: (1) Tổ chức tín dụng, chi nhánh ngân hàng nước ngoài cam kết đã thẩm định và đảm bảo dự án, phương án sử dụng vốn khả thi, khách hàng vay đáp ứng đủ các điều kiện vay vốn theo quy định của pháp luật về hoạt động cho vay, có khả năng thu hồi nợ đúng hạn (gốc và lãi); (2)Tổ chức tín dụng, chi nhánh ngân hàng nước ngoài báo cáo cụ thể nội dung mà tổ chức tín dụng, chi nhánh n</w:t>
            </w:r>
            <w:r>
              <w:rPr>
                <w:rFonts w:ascii="Times New Roman" w:eastAsia="Times New Roman" w:hAnsi="Times New Roman" w:cs="Times New Roman"/>
                <w:sz w:val="26"/>
              </w:rPr>
              <w:t>gân hàng nước ngoài đã thẩm định và phê duyệt cho vay đối với khách hàng: Nhu cầu vay vốn bằng ngoại tệ của khách hàng để thực hiện dự án, phươngán sản xuất, kinh doanh thuộc lĩnh vực ưu tiên, khuyến khích phát triển sản xuất, kinh doanh theo quy định tại các Nghị quyết, Nghị định, Quyết định, Chỉ thị và các văn bản khác của Chính phủ, Thủ tướng Chính phủ; mức vốn mà tổ chức tín dụng, chi nhánh ngân hàng nước ngoài phê duyệt cho vay; tình hình hoạt động sản xuất, kinh doanh, tình hình tài chính và nguồn trả</w:t>
            </w:r>
            <w:r>
              <w:rPr>
                <w:rFonts w:ascii="Times New Roman" w:eastAsia="Times New Roman" w:hAnsi="Times New Roman" w:cs="Times New Roman"/>
                <w:sz w:val="26"/>
              </w:rPr>
              <w:t xml:space="preserve"> nợ vay của khách hàng và các nội dung khác để đảm bảo dự án, phương án sử dụng vốn khả thi, khách hàng vay đáp ứng đủ các điều kiện vay vốn theo quy định của pháp luật; (3)Tổ chức tín dụng, chi nhánh ngân hàng nước ngoài báo cáo cụ thể về nguồn vốn bằng ngoại tệ để thực hiện cho vay, đồng thời cam kết và đảm bảo cân đối được nguồn vốn bằng ngoại tệ phù hợp với thời hạn và mức vốn cho vay; việc cho vay đảm bảo tuân thủ theo đúng quy định của pháp luật hiện hành về hoạt động cho vay, quản lý ngoại hối, giới </w:t>
            </w:r>
            <w:r>
              <w:rPr>
                <w:rFonts w:ascii="Times New Roman" w:eastAsia="Times New Roman" w:hAnsi="Times New Roman" w:cs="Times New Roman"/>
                <w:sz w:val="26"/>
              </w:rPr>
              <w:t>hạn cấp tín dụng, các tỷ lệ đảm bảo an toàn trong hoạt động ngân hàng của tổ chức tín dụng và các quy định khác của pháp luật liên quan; (4)  Tổ chức tín dụng, chi nhánh ngân hàng nước ngoài cam kết chịu trách nhiệm về kết quả thẩm định, quyết định cho vay bằng ngoại tệ đối với các khách hàng và các nội dung, thông tin cung cấp tại văn bản đề nghị</w:t>
            </w:r>
          </w:p>
        </w:tc>
        <w:tc>
          <w:tcPr>
            <w:tcW w:w="0" w:type="auto"/>
          </w:tcPr>
          <w:p w:rsidR="0010522E" w:rsidRDefault="0010522E"/>
        </w:tc>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0522E" w:rsidRDefault="008F7BF2">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w:t>
      </w:r>
    </w:p>
    <w:p w:rsidR="0010522E" w:rsidRDefault="008F7BF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Vụ Chính sách tiền tệ</w:t>
      </w:r>
    </w:p>
    <w:p w:rsidR="0010522E" w:rsidRDefault="008F7BF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0522E" w:rsidRDefault="008F7BF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phận Một cửa NHNN 49 Lý Thái Tổ - Hoàn Kiếm - Hà Nội</w:t>
      </w:r>
    </w:p>
    <w:p w:rsidR="0010522E" w:rsidRDefault="008F7BF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0522E" w:rsidRDefault="008F7BF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0522E" w:rsidRDefault="008F7BF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cho tổ chức tín dụng, chi nhánh ngân hàng nước ngoài cho vay bằng ngoại tệ đối với từng trường hợp cụ thể, Văn bản không chấp thuận cho tổ chức tín dụng, chi nhánh ngân hàng nước ngoài cho vay bằng ngoại tệ đối với từng trường hợp cụ thể</w:t>
      </w:r>
    </w:p>
    <w:p w:rsidR="0010522E" w:rsidRDefault="008F7BF2">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3"/>
        <w:gridCol w:w="5284"/>
        <w:gridCol w:w="932"/>
        <w:gridCol w:w="1592"/>
      </w:tblGrid>
      <w:tr w:rsidR="0010522E">
        <w:tblPrEx>
          <w:tblCellMar>
            <w:top w:w="0" w:type="dxa"/>
            <w:bottom w:w="0" w:type="dxa"/>
          </w:tblCellMar>
        </w:tblPrEx>
        <w:tc>
          <w:tcPr>
            <w:tcW w:w="20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Số ký hiệu</w:t>
            </w:r>
          </w:p>
        </w:tc>
        <w:tc>
          <w:tcPr>
            <w:tcW w:w="35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Trích yếu</w:t>
            </w:r>
          </w:p>
        </w:tc>
        <w:tc>
          <w:tcPr>
            <w:tcW w:w="15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Ngày ban hành</w:t>
            </w:r>
          </w:p>
        </w:tc>
        <w:tc>
          <w:tcPr>
            <w:tcW w:w="3000" w:type="dxa"/>
          </w:tcPr>
          <w:p w:rsidR="0010522E" w:rsidRDefault="0010522E"/>
          <w:p w:rsidR="0010522E" w:rsidRDefault="008F7BF2">
            <w:pPr>
              <w:spacing w:after="0" w:line="276" w:lineRule="auto"/>
              <w:jc w:val="center"/>
            </w:pPr>
            <w:r>
              <w:rPr>
                <w:rFonts w:ascii="Times New Roman" w:eastAsia="Times New Roman" w:hAnsi="Times New Roman" w:cs="Times New Roman"/>
                <w:b/>
                <w:sz w:val="26"/>
              </w:rPr>
              <w:t>Cơ quan ban hành</w:t>
            </w:r>
          </w:p>
        </w:tc>
      </w:tr>
      <w:tr w:rsidR="0010522E">
        <w:tblPrEx>
          <w:tblCellMar>
            <w:top w:w="0" w:type="dxa"/>
            <w:bottom w:w="0" w:type="dxa"/>
          </w:tblCellMar>
        </w:tblPrEx>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24/2015/TT-NHNN</w:t>
            </w:r>
          </w:p>
        </w:tc>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Quy định cho vay bằng ngoại tệ của tổ chức tín dụng, chi nhánh ngân hàng nước ngoài đối với khách hàng vay là người cư trú</w:t>
            </w:r>
          </w:p>
        </w:tc>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08-12-2015</w:t>
            </w:r>
          </w:p>
        </w:tc>
        <w:tc>
          <w:tcPr>
            <w:tcW w:w="0" w:type="auto"/>
          </w:tcPr>
          <w:p w:rsidR="0010522E" w:rsidRDefault="0010522E"/>
          <w:p w:rsidR="0010522E" w:rsidRDefault="008F7BF2">
            <w:pPr>
              <w:spacing w:after="0" w:line="276" w:lineRule="auto"/>
            </w:pPr>
            <w:r>
              <w:rPr>
                <w:rFonts w:ascii="Times New Roman" w:eastAsia="Times New Roman" w:hAnsi="Times New Roman" w:cs="Times New Roman"/>
                <w:sz w:val="26"/>
              </w:rPr>
              <w:t>Ngân hàng Nhà nước Việt Nam</w:t>
            </w:r>
          </w:p>
        </w:tc>
      </w:tr>
    </w:tbl>
    <w:p w:rsidR="0010522E" w:rsidRDefault="008F7BF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Các nhu cầu vốn mà tổ chức tín dụng, chi nhánh ngân hàng nước ngoài đề nghị xem xét, chấp thuận cho vay bằng ngoại tệ phải thuộc lĩnh vực ưu tiên, khuyến khích phát triển sản xuất, kinh doanh theo quy định tại các Nghị quyết, Nghị định, Quyết định, Chỉ thị và các văn bản khác của Chính phủ, Thủ tướng Chính phủ  - Tổ chức tín dụng, chi nhánh ngân hàng nước ngoài đã thẩm định và đảm bảo dự án, phương án sử dụng vốn khả thi, khách hàng vay đáp ứng đủ các điều kiện vay vốn theo quy định của pháp luật về hoạt </w:t>
      </w:r>
      <w:r>
        <w:rPr>
          <w:rFonts w:ascii="Times New Roman" w:eastAsia="Times New Roman" w:hAnsi="Times New Roman" w:cs="Times New Roman"/>
          <w:sz w:val="26"/>
        </w:rPr>
        <w:t>động cho vay, có khả năng thu hồi nợ đúng hạn (gốc và lãi)  - Tổ chức tín dụng, chi nhánh ngân hàng nước ngoài cho vay bằng ngoại tệ tuân thủ các quy định về cho vay bằng ngoại tệ, cho vay, quản lý ngoại hối, tỷ lệ bảo đảm ban toàn trong hoạt động của tổ chức tín dụng, chi nhánh ngân hàng nước ngoài và các quy định khác có liên quan  - Tổ chức tín dụng, chi nhánh ngân hàng nước ngoài đảm bảo cân đối được nguồn vốn bằng ngoại tệ phù hợp với thời hạn và mức vốn để cho vay</w:t>
      </w:r>
    </w:p>
    <w:p w:rsidR="0010522E" w:rsidRDefault="008F7BF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0522E" w:rsidRDefault="008F7BF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https://thutuc.dichvucong.gov.vn/p/home/dvc-tthc-thu-tuc-hanh-chinh-chi-tiet.html?ma_thu_tuc=3074</w:t>
      </w:r>
    </w:p>
    <w:sectPr w:rsidR="0010522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0522E"/>
    <w:rsid w:val="0010522E"/>
    <w:rsid w:val="003839FB"/>
    <w:rsid w:val="008F7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2ADC0F-0D8E-4E1C-9427-CB17C233C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2025-11-27T16:46:00Z</dcterms:created>
  <dcterms:modified xsi:type="dcterms:W3CDTF">2025-11-27T16:46:00Z</dcterms:modified>
</cp:coreProperties>
</file>