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2.000932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3339/QĐ-NHCS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tiếp nhận cán bộ Ngân hàng Chính sách xã hội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Xác định nhu cầu, trình độ, tiêu chuẩn và chỉ tiêu biên chế được giao.</w:t>
      </w:r>
    </w:p>
    <w:p>
      <w:pPr>
        <w:spacing w:after="0" w:before="0" w:lineRule="auto" w:line="276"/>
        <w:jc w:val="both"/>
      </w:pPr>
      <w:r>
        <w:rPr>
          <w:rFonts w:ascii="Times New Roman" w:hAnsi="Times New Roman" w:cs="Times New Roman" w:eastAsia="Times New Roman"/>
          <w:b w:val="false"/>
          <w:sz w:val="26"/>
        </w:rPr>
        <w:t>- Bước 2: Người có nguyện vọng chuyển công tác đến NHCSXH có đơn xin chuyển công tác (ghi rõ lý do chuyển công tác, cam kết chấp hành sự phân công, bố trí công việc và hưởng lương theo đơn vị.</w:t>
      </w:r>
    </w:p>
    <w:p>
      <w:pPr>
        <w:spacing w:after="0" w:before="0" w:lineRule="auto" w:line="276"/>
        <w:jc w:val="both"/>
      </w:pPr>
      <w:r>
        <w:rPr>
          <w:rFonts w:ascii="Times New Roman" w:hAnsi="Times New Roman" w:cs="Times New Roman" w:eastAsia="Times New Roman"/>
          <w:b w:val="false"/>
          <w:sz w:val="26"/>
        </w:rPr>
        <w:t>- Bước 3: Đơn vị tiếp nhận thẩm tra lý lịch;</w:t>
      </w:r>
    </w:p>
    <w:p>
      <w:pPr>
        <w:spacing w:after="0" w:before="0" w:lineRule="auto" w:line="276"/>
        <w:jc w:val="both"/>
      </w:pPr>
      <w:r>
        <w:rPr>
          <w:rFonts w:ascii="Times New Roman" w:hAnsi="Times New Roman" w:cs="Times New Roman" w:eastAsia="Times New Roman"/>
          <w:b w:val="false"/>
          <w:sz w:val="26"/>
        </w:rPr>
        <w:t>- Bước 4: Đơn vị tiếp nhận có văn bản chấp thuận tiếp nhận cán bộ;</w:t>
      </w:r>
    </w:p>
    <w:p>
      <w:pPr>
        <w:spacing w:after="0" w:before="0" w:lineRule="auto" w:line="276"/>
        <w:jc w:val="both"/>
      </w:pPr>
      <w:r>
        <w:rPr>
          <w:rFonts w:ascii="Times New Roman" w:hAnsi="Times New Roman" w:cs="Times New Roman" w:eastAsia="Times New Roman"/>
          <w:b w:val="false"/>
          <w:sz w:val="26"/>
        </w:rPr>
        <w:t>- Bước 5: Đơn vị cho chuyển công tác quyết định thuyên chuyển công tác cho cán bộ (gửi kèm giấy thôi trả lương, toàn bộ hồ sơ gốc của cán bộ do đơn vị quản lý được niêm phong gửi đến đơn vị tiếp nhận);</w:t>
      </w:r>
    </w:p>
    <w:p>
      <w:pPr>
        <w:spacing w:after="0" w:before="0" w:lineRule="auto" w:line="276"/>
        <w:jc w:val="both"/>
      </w:pPr>
      <w:r>
        <w:rPr>
          <w:rFonts w:ascii="Times New Roman" w:hAnsi="Times New Roman" w:cs="Times New Roman" w:eastAsia="Times New Roman"/>
          <w:b w:val="false"/>
          <w:sz w:val="26"/>
        </w:rPr>
        <w:t>- Bước 6: Đơn vị tiếp nhận ra quyết định tiếp nhận và ký hợp đồng lao động theo quy định;</w:t>
      </w:r>
    </w:p>
    <w:p>
      <w:pPr>
        <w:spacing w:after="0" w:before="0" w:lineRule="auto" w:line="276"/>
        <w:jc w:val="both"/>
      </w:pPr>
      <w:r>
        <w:rPr>
          <w:rFonts w:ascii="Times New Roman" w:hAnsi="Times New Roman" w:cs="Times New Roman" w:eastAsia="Times New Roman"/>
          <w:b w:val="false"/>
          <w:sz w:val="26"/>
        </w:rPr>
        <w:t>- Bước 7: Lưu trữ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Chưa có quy định, tuỳ thuộc nhu cầu cán bộ tại: Hội sở chính, Trung tâm Đào tạo, Trung tâm Công nghệ thông tin, Sở giao dịch, các Chi nhánh NHCSXH tỉnh, thành phố và Phòng giao dịch NHCSXH nơi thực hiện thủ tục.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tiếp tại trụ sở: Hội sở chính, Trung tâm Đào tạo, Trung tâm Công nghệ thông tin, Sở giao dịch, các Chi nhánh NHCSXH tỉnh, thành phố.</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Thành phần hồ sơ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xin chuyển công tác (nội dung đơn ghi rõ lý do chuyển công tác, cam kết chấp hành sự phân công, bố trí công việc và hưởng lương theo vị trí công việc đảm nhận) có ý kiến đồng ý của đơn vị cho chuyển công tác (bằng văn bản riêng hoặc nghi trực tiếp vào đơn xin chuyển công tác);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Sơ yếu lý lịch theo mẫu quy định hiện hành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khai sinh;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văn bằng, chứng chỉ chuyên môn (bản sao có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khám sức khoẻ của cơ quan y tế có thẩm quyền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tự nhận xét, đánh giá quá trình công tác tại đơn vị có xác nhận của người đứng đầu đơn vị cũ;</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Trung tâm chuyển đổi số, dữ liệu phương tiện Quốc gia và tập huấn nghiệp vụ (DTTC), Trung tâm CNTT, Sở Giao dịch</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hành chính;, Hợp đồng lao động.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1124/NHCS-TCCB</w:t>
            </w:r>
          </w:p>
        </w:tc>
        <w:tc>
          <w:p/>
          <w:p>
            <w:pPr>
              <w:spacing w:after="0" w:before="0" w:lineRule="auto" w:line="276"/>
              <w:jc w:val="left"/>
            </w:pPr>
            <w:r>
              <w:rPr>
                <w:rFonts w:ascii="Times New Roman" w:hAnsi="Times New Roman" w:cs="Times New Roman" w:eastAsia="Times New Roman"/>
                <w:b w:val="false"/>
                <w:sz w:val="26"/>
              </w:rPr>
              <w:t>Văn bản số 1124/NHCS-TCCB</w:t>
            </w:r>
          </w:p>
        </w:tc>
        <w:tc>
          <w:p/>
          <w:p>
            <w:pPr>
              <w:spacing w:after="0" w:before="0" w:lineRule="auto" w:line="276"/>
              <w:jc w:val="left"/>
            </w:pPr>
            <w:r>
              <w:rPr>
                <w:rFonts w:ascii="Times New Roman" w:hAnsi="Times New Roman" w:cs="Times New Roman" w:eastAsia="Times New Roman"/>
                <w:b w:val="false"/>
                <w:sz w:val="26"/>
              </w:rPr>
              <w:t>22-06-2007</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3719/NHCS-TCCB</w:t>
            </w:r>
          </w:p>
        </w:tc>
        <w:tc>
          <w:p/>
          <w:p>
            <w:pPr>
              <w:spacing w:after="0" w:before="0" w:lineRule="auto" w:line="276"/>
              <w:jc w:val="left"/>
            </w:pPr>
            <w:r>
              <w:rPr>
                <w:rFonts w:ascii="Times New Roman" w:hAnsi="Times New Roman" w:cs="Times New Roman" w:eastAsia="Times New Roman"/>
                <w:b w:val="false"/>
                <w:sz w:val="26"/>
              </w:rPr>
              <w:t>Văn bản số 3719/NHCS-TCCB</w:t>
            </w:r>
          </w:p>
        </w:tc>
        <w:tc>
          <w:p/>
          <w:p>
            <w:pPr>
              <w:spacing w:after="0" w:before="0" w:lineRule="auto" w:line="276"/>
              <w:jc w:val="left"/>
            </w:pPr>
            <w:r>
              <w:rPr>
                <w:rFonts w:ascii="Times New Roman" w:hAnsi="Times New Roman" w:cs="Times New Roman" w:eastAsia="Times New Roman"/>
                <w:b w:val="false"/>
                <w:sz w:val="26"/>
              </w:rPr>
              <w:t>26-12-2008</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Nhu cầu cán bộ, tiêu chuẩn chuyên môn nghiệp vụ của ngạch viên chức tiếp nhận làm việc tại cơ quan.
- Có đơn xin chuyển công tác hợp lệ theo quy định của NHCSXH, lý lịch rõ ràng được nơi đang công tác xác nhận; có quá trình công tác liên tục, có phẩm chất đạo đức tốt, không vi phạm kỷ luật; có đủ các văn bằng, chứng chỉ đào tạo theo yêu cầu trình độ của vị trí công việc dự kiến tiếp nhận; có đủ sức khoẻ để đảm nhiệm công tác; tuổi tiếp nhận không quá 40 tuổi; phải tham gia khó đào tạo nghiệp vụ do Trung tâm đào tạo tổ chức đối với cán bộ tiếp nhận đến NHCSXH;
- Không có tiền án, tiền sự; không trong thời gian bị truy cứu trách nhiệm hình sự, chấp hành án phạt tù, cải tạo không giam giữ, quản chế, đang bị biện pháp giáo dục tại xã, phường, thị trấn hoặc đưa vào cơ sở chữa bệnh, cơ sở giáo dục; bị sa thải theo đúng luật từ các tổ chức, đơn vị khác; đang trong thời gian thi hành kỷ luật ở đơn vị cũ.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https://thutuc.dichvucong.gov.vn/p/home/dvc-tthc-thu-tuc-hanh-chinh-chi-tiet.html?ma_thu_tuc=3085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2025-11-27T16:46:09Z</dcterms:created>
  <dc:creator>Apache POI</dc:creator>
</cp:coreProperties>
</file>