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bản sao có chứng thực từ bản chính hợp đồng, giao dịch đã được chứng thực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yêu cầu cấp bản sao có chứng thực từ bản chính giao dịch phải xuất trình các giấy tờ theo quy định.</w:t>
      </w:r>
    </w:p>
    <w:p>
      <w:pPr>
        <w:spacing w:after="0" w:before="0" w:lineRule="auto" w:line="276"/>
        <w:jc w:val="both"/>
      </w:pPr>
      <w:r>
        <w:rPr>
          <w:rFonts w:ascii="Times New Roman" w:hAnsi="Times New Roman" w:cs="Times New Roman" w:eastAsia="Times New Roman"/>
          <w:b w:val="false"/>
          <w:sz w:val="26"/>
        </w:rPr>
        <w:t>+ Người thực hiện chứng thực kiểm tra giấy tờ do người yêu cầu cấp bản sao có chứng thực từ bản chính giao dịch xuất trình.</w:t>
      </w:r>
    </w:p>
    <w:p>
      <w:pPr>
        <w:spacing w:after="0" w:before="0" w:lineRule="auto" w:line="276"/>
        <w:jc w:val="both"/>
      </w:pPr>
      <w:r>
        <w:rPr>
          <w:rFonts w:ascii="Times New Roman" w:hAnsi="Times New Roman" w:cs="Times New Roman" w:eastAsia="Times New Roman"/>
          <w:b w:val="false"/>
          <w:sz w:val="26"/>
        </w:rPr>
        <w:t>+ Việc cấp bản sao có chứng thực từ bản chính giao dịch đã được chứng thực được thực hiện tại cơ quan lưu trữ giao dịch.</w:t>
      </w:r>
    </w:p>
    <w:p>
      <w:pPr>
        <w:spacing w:after="0" w:before="0" w:lineRule="auto" w:line="276"/>
        <w:jc w:val="both"/>
      </w:pPr>
      <w:r>
        <w:rPr>
          <w:rFonts w:ascii="Times New Roman" w:hAnsi="Times New Roman" w:cs="Times New Roman" w:eastAsia="Times New Roman"/>
          <w:b w:val="false"/>
          <w:sz w:val="26"/>
        </w:rPr>
        <w:t>+ Cơ quan thực hiện chứng thực tiến hành chụp từ bản chính giao dịch đang được lưu trữ và thực hiện chứng thực như sau:
* Ghi đầy đủ lời chứng theo mẫu quy định;
* Ký, ghi rõ họ tên, đóng dấu của cơ quan, tổ chức thực hiện chứng thực và ghi vào sổ chứng thực.
Đối với bản sao có từ 02 (hai) trang trở lên thì ghi lời chứng vào trang cuối, nếu bản sao có từ 02 (hai) tờ trở lên thì phải đóng dấu giáp lai.
Mỗi bản sao được chứng thực từ một bản chính giấy tờ, văn bản hoặc nhiều bản sao được chứng thực từ một bản chính giấy tờ, văn bản trong cùng một thời điểm được ghi một số chứng thực.</w:t>
      </w:r>
    </w:p>
    <w:p>
      <w:pPr>
        <w:spacing w:after="0" w:before="0" w:lineRule="auto" w:line="276"/>
        <w:jc w:val="both"/>
      </w:pPr>
      <w:r>
        <w:rPr>
          <w:rFonts w:ascii="Times New Roman" w:hAnsi="Times New Roman" w:cs="Times New Roman" w:eastAsia="Times New Roman"/>
          <w:b w:val="false"/>
          <w:sz w:val="26"/>
        </w:rPr>
        <w:t>+ Người thực hiện chứng thực không yêu cầu người yêu cầu chứng thực nộp, xuất trình bản chính hoặc bản sao các giấy tờ, tài liệu đã được tích hợp trên VNeID khi người yêu cầu chứng thực đã xuất trình thông tin tương ứng từ VNeID.</w:t>
      </w:r>
    </w:p>
    <w:p>
      <w:pPr>
        <w:spacing w:after="0" w:before="0" w:lineRule="auto" w:line="276"/>
        <w:jc w:val="both"/>
      </w:pPr>
      <w:r>
        <w:rPr>
          <w:rFonts w:ascii="Times New Roman" w:hAnsi="Times New Roman" w:cs="Times New Roman" w:eastAsia="Times New Roman"/>
          <w:b w:val="false"/>
          <w:sz w:val="26"/>
        </w:rPr>
        <w:t>+ Trường hợp người yêu cầu chứng thực đề nghị và người thực hiện chứng thực có thể khai thác thông tin, giấy tờ từ Cơ sở dữ liệu quốc gia về dân cư hoặc các cơ sở dữ liệu khác theo quy định của pháp luật thì người thực hiện chứng thực có trách nhiệm thực hiện việc khai thác thông tin, giấy tờ từ các cơ sở dữ liệu này, không yêu cầu người yêu cầu chứng thực xuất trình bản chính, bản sao từ sổ gốc hoặc bản sao có chứng thực đối với các thông tin, giấy tờ đã được khai thác.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ngày cơ quan, tổ chức tiếp nhận yêu cầu hoặc trong ngày làm việc tiếp theo, nếu tiếp nhận yêu cầu sau 15 giờ. Trường hợp trả kết quả trong ngày làm việc tiếp theo thì người tiếp nhận hồ sơ phải có phiếu hẹn ghi rõ thời gian (giờ, ngày) trả kết quả cho người yêu cầu chứng thực. </w:t>
            </w:r>
          </w:p>
        </w:tc>
        <w:tc>
          <w:p/>
          <w:p>
            <w:pPr>
              <w:spacing w:after="0" w:before="0" w:lineRule="auto" w:line="276"/>
              <w:jc w:val="left"/>
            </w:pPr>
            <w:r>
              <w:rPr>
                <w:rFonts w:ascii="Times New Roman" w:hAnsi="Times New Roman" w:cs="Times New Roman" w:eastAsia="Times New Roman"/>
                <w:b w:val="false"/>
                <w:sz w:val="26"/>
              </w:rPr>
              <w:t>Phí :  Đồng</w:t>
              <w:t xml:space="preserve"> (2.000 đồng/trang; từ trang thứ 3 trở lên thu 1.000 đồng/trang, tối đa thu không quá 200.000 đồng/bản. Trang là căn cứ để thu phí được tính theo trang của bản chính.)</w:t>
            </w:r>
          </w:p>
        </w:tc>
        <w:tc>
          <w:p/>
          <w:p>
            <w:pPr>
              <w:spacing w:after="0" w:before="0" w:lineRule="auto" w:line="276"/>
              <w:jc w:val="left"/>
            </w:pPr>
            <w:r>
              <w:rPr>
                <w:rFonts w:ascii="Times New Roman" w:hAnsi="Times New Roman" w:cs="Times New Roman" w:eastAsia="Times New Roman"/>
                <w:b w:val="false"/>
                <w:sz w:val="26"/>
              </w:rPr>
              <w:t>Nộp hồ sơ trực tiếp tại UBND cấp xã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Người yêu cầu chứng thực xuất trình bản chính hoặc bản sao có chứng thực Giấy chứng minh nhân dân/Thẻ căn cước công dân/Thẻ căn cước/Giấy chứng nhận căn cước/Hộ chiếu/giấy tờ xuất nhập cảnh/giấy tờ có giá trị đi lại quốc tế còn giá trị sử dụng hoặc Căn cước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hợp đồng, giao dịch đã được chứng thực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226/2016/TT-BTC</w:t>
            </w:r>
          </w:p>
        </w:tc>
        <w:tc>
          <w:p/>
          <w:p>
            <w:pPr>
              <w:spacing w:after="0" w:before="0" w:lineRule="auto" w:line="276"/>
              <w:jc w:val="left"/>
            </w:pPr>
            <w:r>
              <w:rPr>
                <w:rFonts w:ascii="Times New Roman" w:hAnsi="Times New Roman" w:cs="Times New Roman" w:eastAsia="Times New Roman"/>
                <w:b w:val="false"/>
                <w:sz w:val="26"/>
              </w:rPr>
              <w:t>Thông tư 	226/2016/TT-BTC</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01/2020/TT-BTP</w:t>
            </w:r>
          </w:p>
        </w:tc>
        <w:tc>
          <w:p/>
          <w:p>
            <w:pPr>
              <w:spacing w:after="0" w:before="0" w:lineRule="auto" w:line="276"/>
              <w:jc w:val="left"/>
            </w:pPr>
            <w:r>
              <w:rPr>
                <w:rFonts w:ascii="Times New Roman" w:hAnsi="Times New Roman" w:cs="Times New Roman" w:eastAsia="Times New Roman"/>
                <w:b w:val="false"/>
                <w:sz w:val="26"/>
              </w:rPr>
              <w:t>Thông tư 01/2020/TT-BTP</w:t>
            </w:r>
          </w:p>
        </w:tc>
        <w:tc>
          <w:p/>
          <w:p>
            <w:pPr>
              <w:spacing w:after="0" w:before="0" w:lineRule="auto" w:line="276"/>
              <w:jc w:val="left"/>
            </w:pPr>
            <w:r>
              <w:rPr>
                <w:rFonts w:ascii="Times New Roman" w:hAnsi="Times New Roman" w:cs="Times New Roman" w:eastAsia="Times New Roman"/>
                <w:b w:val="false"/>
                <w:sz w:val="26"/>
              </w:rPr>
              <w:t>03-03-2020</w:t>
            </w:r>
          </w:p>
        </w:tc>
        <w:tc>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280/2025/NĐ-CP</w:t>
            </w:r>
          </w:p>
        </w:tc>
        <w:tc>
          <w:p/>
          <w:p>
            <w:pPr>
              <w:spacing w:after="0" w:before="0" w:lineRule="auto" w:line="276"/>
              <w:jc w:val="left"/>
            </w:pPr>
            <w:r>
              <w:rPr>
                <w:rFonts w:ascii="Times New Roman" w:hAnsi="Times New Roman" w:cs="Times New Roman" w:eastAsia="Times New Roman"/>
                <w:b w:val="false"/>
                <w:sz w:val="26"/>
              </w:rPr>
              <w:t>Nghị định số 280/2025/NĐ-CP sửa đổi, bổ sung một số điều của Nghị định số 23/2015/NĐ-CP về cấp bản sao từ sổ gốc, chứng thực bản sao từ bản chính, chứng thực chữ ký và chứng thực hợp đồng, giao dịch, được sửa đổi, bổ sung bởi Nghị định số 07/2025/NĐ-CP</w:t>
            </w:r>
          </w:p>
        </w:tc>
        <w:tc>
          <w:p/>
          <w:p>
            <w:pPr>
              <w:spacing w:after="0" w:before="0" w:lineRule="auto" w:line="276"/>
              <w:jc w:val="left"/>
            </w:pPr>
            <w:r>
              <w:rPr>
                <w:rFonts w:ascii="Times New Roman" w:hAnsi="Times New Roman" w:cs="Times New Roman" w:eastAsia="Times New Roman"/>
                <w:b w:val="false"/>
                <w:sz w:val="26"/>
              </w:rPr>
              <w:t>27-10-2025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2025-11-27T16:46:21Z</dcterms:created>
  <dc:creator>Apache POI</dc:creator>
</cp:coreProperties>
</file>