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thanh toán bằng séc chuyển khoản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Khách hàng lập 03 liên Bảng kê nộp Séc theo mẫu quy định cùng tờ Séc (ghi đầy đủ các yếu tố trên tờ Séc) gửi NHCSXH nơi thực hiện thủ tục.</w:t>
      </w:r>
    </w:p>
    <w:p>
      <w:pPr>
        <w:spacing w:after="0" w:before="0" w:lineRule="auto" w:line="276"/>
        <w:jc w:val="both"/>
      </w:pPr>
      <w:r>
        <w:rPr>
          <w:rFonts w:ascii="Times New Roman" w:hAnsi="Times New Roman" w:cs="Times New Roman" w:eastAsia="Times New Roman"/>
          <w:b w:val="false"/>
          <w:sz w:val="26"/>
        </w:rPr>
        <w:t>Bước 2: NHCSXH nơi thực hiện thủ tục tiếp nhận bộ chứng từ, kiểm tra các thông tin có liên quan đến quá trình thanh toán bằng Séc của khách hàng. Nếu đầy đủ các thông tin và đảm bảo yếu tố pháp lý trên chứng từ, đủ điều kiện thanh toán theo quy định thì NHCSXH nơi thực hiện thủ tục tiến hành xử lý nghiệp vụ, thực hiện thanh toán. Nếu không đủ điều kiện thanh toán theo quy định thì trả lại hồ sơ thanh toán cho khách hàng, từ chối thanh toán và nêu rõ lý do từ chối thanh toán.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trong ngày nếu đủ điều kiện thanh toán.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NHCSXH nơi thực hiện thủ tục.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Séc</w:t>
            </w:r>
          </w:p>
        </w:tc>
        <w:tc>
          <w:p/>
          <w:p>
            <w:pPr>
              <w:spacing w:after="0" w:before="0" w:lineRule="auto" w:line="276"/>
              <w:jc w:val="left"/>
            </w:pPr>
            <w:r>
              <w:rPr>
                <w:rFonts w:ascii="Times New Roman" w:hAnsi="Times New Roman" w:cs="Times New Roman" w:eastAsia="Times New Roman"/>
                <w:b w:val="false"/>
                <w:sz w:val="26"/>
              </w:rPr>
              <w:t>04-KT (2669-NHCS - KT ngày 03.11.2006))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kê nộp Séc</w:t>
            </w:r>
          </w:p>
        </w:tc>
        <w:tc>
          <w:p/>
          <w:p>
            <w:pPr>
              <w:spacing w:after="0" w:before="0" w:lineRule="auto" w:line="276"/>
              <w:jc w:val="left"/>
            </w:pPr>
            <w:r>
              <w:rPr>
                <w:rFonts w:ascii="Times New Roman" w:hAnsi="Times New Roman" w:cs="Times New Roman" w:eastAsia="Times New Roman"/>
                <w:b w:val="false"/>
                <w:sz w:val="26"/>
              </w:rPr>
              <w:t>06-KT ( 2669-NHCS - KT ngày 03.11.2006).doc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Thanh toán Séc và 01 liên Bảng kê nộp Séc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30/2006/QĐ-NHNN</w:t>
            </w:r>
          </w:p>
        </w:tc>
        <w:tc>
          <w:p/>
          <w:p>
            <w:pPr>
              <w:spacing w:after="0" w:before="0" w:lineRule="auto" w:line="276"/>
              <w:jc w:val="left"/>
            </w:pPr>
            <w:r>
              <w:rPr>
                <w:rFonts w:ascii="Times New Roman" w:hAnsi="Times New Roman" w:cs="Times New Roman" w:eastAsia="Times New Roman"/>
                <w:b w:val="false"/>
                <w:sz w:val="26"/>
              </w:rPr>
              <w:t>Ban hành Quy chế cung ứng và sử dụng séc</w:t>
            </w:r>
          </w:p>
        </w:tc>
        <w:tc>
          <w:p/>
          <w:p>
            <w:pPr>
              <w:spacing w:after="0" w:before="0" w:lineRule="auto" w:line="276"/>
              <w:jc w:val="left"/>
            </w:pPr>
            <w:r>
              <w:rPr>
                <w:rFonts w:ascii="Times New Roman" w:hAnsi="Times New Roman" w:cs="Times New Roman" w:eastAsia="Times New Roman"/>
                <w:b w:val="false"/>
                <w:sz w:val="26"/>
              </w:rPr>
              <w:t>11-07-2006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2669 /NHCS-KT</w:t>
            </w:r>
          </w:p>
        </w:tc>
        <w:tc>
          <w:p/>
          <w:p>
            <w:pPr>
              <w:spacing w:after="0" w:before="0" w:lineRule="auto" w:line="276"/>
              <w:jc w:val="left"/>
            </w:pPr>
            <w:r>
              <w:rPr>
                <w:rFonts w:ascii="Times New Roman" w:hAnsi="Times New Roman" w:cs="Times New Roman" w:eastAsia="Times New Roman"/>
                <w:b w:val="false"/>
                <w:sz w:val="26"/>
              </w:rPr>
              <w:t>V/v hướng dẫn cung ứng và sử dụng séc trong hệ thống NHCSXH</w:t>
            </w:r>
          </w:p>
        </w:tc>
        <w:tc>
          <w:p/>
          <w:p>
            <w:pPr>
              <w:spacing w:after="0" w:before="0" w:lineRule="auto" w:line="276"/>
              <w:jc w:val="left"/>
            </w:pPr>
            <w:r>
              <w:rPr>
                <w:rFonts w:ascii="Times New Roman" w:hAnsi="Times New Roman" w:cs="Times New Roman" w:eastAsia="Times New Roman"/>
                <w:b w:val="false"/>
                <w:sz w:val="26"/>
              </w:rPr>
              <w:t>03-11-2006</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2025-11-27T16:46:42Z</dcterms:created>
  <dc:creator>Apache POI</dc:creator>
</cp:coreProperties>
</file>