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hộ cận nghèo.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tổ viên đề nghị vay vốn NHCSXH (mẫu số 03/TD) kèm Giấy đề nghị vay vốn kiêm phương án sử dụng vốn vay (mẫu số 01/TD) của các tổ viên Tổ TK&amp;VV trình UBND cấp xã xác nhận;
- Gửi bộ hồ sơ vay vốn tới NHCSXH nơi thực hiện thủ tục sau khi có xác nhận của UBND cấp xã là hộ cận nghèo trên Danh sách tổ viên đề nghị vay vốn NHCSXH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hồ sơ đầy đủ, hợp lệ từ người vay.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2934/NHCS-TDNN</w:t>
            </w:r>
          </w:p>
        </w:tc>
        <w:tc>
          <w:p/>
          <w:p>
            <w:pPr>
              <w:spacing w:after="0" w:before="0" w:lineRule="auto" w:line="276"/>
              <w:jc w:val="left"/>
            </w:pPr>
            <w:r>
              <w:rPr>
                <w:rFonts w:ascii="Times New Roman" w:hAnsi="Times New Roman" w:cs="Times New Roman" w:eastAsia="Times New Roman"/>
                <w:b w:val="false"/>
                <w:sz w:val="26"/>
              </w:rPr>
              <w:t>	Văn bản số 2934/NHCS-TDNN</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15/2013/QĐ-TTg</w:t>
            </w:r>
          </w:p>
        </w:tc>
        <w:tc>
          <w:p/>
          <w:p>
            <w:pPr>
              <w:spacing w:after="0" w:before="0" w:lineRule="auto" w:line="276"/>
              <w:jc w:val="left"/>
            </w:pPr>
            <w:r>
              <w:rPr>
                <w:rFonts w:ascii="Times New Roman" w:hAnsi="Times New Roman" w:cs="Times New Roman" w:eastAsia="Times New Roman"/>
                <w:b w:val="false"/>
                <w:sz w:val="26"/>
              </w:rPr>
              <w:t>Quyết định 15/2013/QĐ-TTg</w:t>
            </w:r>
          </w:p>
        </w:tc>
        <w:tc>
          <w:p/>
          <w:p>
            <w:pPr>
              <w:spacing w:after="0" w:before="0" w:lineRule="auto" w:line="276"/>
              <w:jc w:val="left"/>
            </w:pPr>
            <w:r>
              <w:rPr>
                <w:rFonts w:ascii="Times New Roman" w:hAnsi="Times New Roman" w:cs="Times New Roman" w:eastAsia="Times New Roman"/>
                <w:b w:val="false"/>
                <w:sz w:val="26"/>
              </w:rPr>
              <w:t>23-02-2013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1003/NHCS-TDNN</w:t>
            </w:r>
          </w:p>
        </w:tc>
        <w:tc>
          <w:p/>
          <w:p>
            <w:pPr>
              <w:spacing w:after="0" w:before="0" w:lineRule="auto" w:line="276"/>
              <w:jc w:val="left"/>
            </w:pPr>
            <w:r>
              <w:rPr>
                <w:rFonts w:ascii="Times New Roman" w:hAnsi="Times New Roman" w:cs="Times New Roman" w:eastAsia="Times New Roman"/>
                <w:b w:val="false"/>
                <w:sz w:val="26"/>
              </w:rPr>
              <w:t>Văn bản số 1003/NHCS-TDNN</w:t>
            </w:r>
          </w:p>
        </w:tc>
        <w:tc>
          <w:p/>
          <w:p>
            <w:pPr>
              <w:spacing w:after="0" w:before="0" w:lineRule="auto" w:line="276"/>
              <w:jc w:val="left"/>
            </w:pPr>
            <w:r>
              <w:rPr>
                <w:rFonts w:ascii="Times New Roman" w:hAnsi="Times New Roman" w:cs="Times New Roman" w:eastAsia="Times New Roman"/>
                <w:b w:val="false"/>
                <w:sz w:val="26"/>
              </w:rPr>
              <w:t>23-04-2013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tổ viên Tổ TK&amp;VV;
- Người vay cư trú hợp pháp tại địa phương;
- Người vay được Ủy ban nhân dân cấp xã xác nhận là hộ cận nghèo trên Danh sách tổ viên đề nghị vay vốn NHCSXH chương trình cho vay hộ cận nghèo (mẫu số 03/TD) do Ban quản lý Tổ TK&amp;VV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2025-11-27T16:46:46Z</dcterms:created>
  <dc:creator>Apache POI</dc:creator>
</cp:coreProperties>
</file>