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Liên thông thủ tục hành chính về đăng ký khai sinh, đăng ký thường trú, cấp thẻ bảo hiểm y tế cho trẻ em dưới 6 tuổi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có yêu cầu nộp hồ sơ tại Bộ phận tiếp nhận và trả kết quả theo cơ chế “Một cửa” của Ủy ban nhân dân cấp xã.</w:t>
      </w:r>
    </w:p>
    <w:p>
      <w:pPr>
        <w:spacing w:after="0" w:before="0" w:lineRule="auto" w:line="276"/>
        <w:jc w:val="both"/>
      </w:pPr>
      <w:r>
        <w:rPr>
          <w:rFonts w:ascii="Times New Roman" w:hAnsi="Times New Roman" w:cs="Times New Roman" w:eastAsia="Times New Roman"/>
          <w:b w:val="false"/>
          <w:sz w:val="26"/>
        </w:rPr>
        <w:t xml:space="preserve">       - Cán bộ, công chức tiếp nhận hồ sơ có trách nhiệm kiểm tra giấy tờ trong hồ sơ, nếu hồ sơ đầy đủ, hợp lệ thì tiếp nhận và tạm thu lệ phí đăng ký thường trú cho trẻ em theo quy định, đồng thời viết giấy nhận hồ sơ, hẹn trả kết quả từng loại việc cho người đi đăng ký; nếu hồ sơ thiếu hoặc không hợp lệ thì hướng dẫn người có yêu cầu bổ sung hoàn thiện hồ sơ; văn bản hướng dẫn phải ghi đầy đủ, rõ ràng loại giấy tờ cần bổ sung, hoàn thiện; cán bộ tiếp nhận hồ sơ ký, ghi rõ họ tên và giao cho người nộp hồ sơ</w:t>
      </w:r>
    </w:p>
    <w:p>
      <w:pPr>
        <w:spacing w:after="0" w:before="0" w:lineRule="auto" w:line="276"/>
        <w:jc w:val="both"/>
      </w:pPr>
      <w:r>
        <w:rPr>
          <w:rFonts w:ascii="Times New Roman" w:hAnsi="Times New Roman" w:cs="Times New Roman" w:eastAsia="Times New Roman"/>
          <w:b w:val="false"/>
          <w:sz w:val="26"/>
        </w:rPr>
        <w:t xml:space="preserve">      Trường hợp hồ sơ không thuộc thẩm quyền giải quyết thì giải thích, hướng dẫn người đi đăng ký đến đúng cơ quan có thẩm quyền giải quyết theo quy định.</w:t>
      </w:r>
    </w:p>
    <w:p>
      <w:pPr>
        <w:spacing w:after="0" w:before="0" w:lineRule="auto" w:line="276"/>
        <w:jc w:val="both"/>
      </w:pPr>
      <w:r>
        <w:rPr>
          <w:rFonts w:ascii="Times New Roman" w:hAnsi="Times New Roman" w:cs="Times New Roman" w:eastAsia="Times New Roman"/>
          <w:b w:val="false"/>
          <w:sz w:val="26"/>
        </w:rPr>
        <w:t xml:space="preserve">     - Công chức Tư pháp - hộ tịch cấp xã đăng ký khai sinh cho trẻ em ngay trong ngày tiếp nhận hồ sơ.</w:t>
      </w:r>
    </w:p>
    <w:p>
      <w:pPr>
        <w:spacing w:after="0" w:before="0" w:lineRule="auto" w:line="276"/>
        <w:jc w:val="both"/>
      </w:pPr>
      <w:r>
        <w:rPr>
          <w:rFonts w:ascii="Times New Roman" w:hAnsi="Times New Roman" w:cs="Times New Roman" w:eastAsia="Times New Roman"/>
          <w:b w:val="false"/>
          <w:sz w:val="26"/>
        </w:rPr>
        <w:t xml:space="preserve">      - Sau khi công chức Tư pháp – hộ tịch cấp xã thực hiện việc đăng ký khai sinh và cấp Giấy khai sinh cho trẻ em, cán bộ, công chức được giao nhiệm vụ lập hồ sơ đăng ký thường trú kèm theo lệ phí chuyển cho cơ quan Công an có thẩm quyền, cụ thể: Địa bàn huyện thì chuyển cho Công an xã, thị trấn thuộc huyện; địa bàn thị xã, thành phố thuộc tỉnh, quận, huyện, thị xã thuộc thành phố trực thuộc trung ương thì chuyển cho Công an cấp huyện để đăng ký thường trú cho trẻ em; đồng thời lập hồ sơ cấp Thẻ bảo hiểm y tế chuyển cho Bảo hiểm xã hội cấp huyện để cấp Thẻ bảo hiểm y tế cho trẻ em.</w:t>
      </w:r>
    </w:p>
    <w:p>
      <w:pPr>
        <w:spacing w:after="0" w:before="0" w:lineRule="auto" w:line="276"/>
        <w:jc w:val="both"/>
      </w:pPr>
      <w:r>
        <w:rPr>
          <w:rFonts w:ascii="Times New Roman" w:hAnsi="Times New Roman" w:cs="Times New Roman" w:eastAsia="Times New Roman"/>
          <w:b w:val="false"/>
          <w:sz w:val="26"/>
        </w:rPr>
        <w:t>- Cơ quan Công an, cơ quan Bảo hiểm xã hội kiểm tra hồ sơ, nếu thấy đầy đủ, hợp lệ thì thực hiện đăng ký thường trú (trong thời hạn 15 ngày), cấp Thẻ bảo hiểm y tế cho trẻ em (trong thời hạn 10 ngày).</w:t>
      </w:r>
    </w:p>
    <w:p>
      <w:pPr>
        <w:spacing w:after="0" w:before="0" w:lineRule="auto" w:line="276"/>
        <w:jc w:val="both"/>
      </w:pPr>
      <w:r>
        <w:rPr>
          <w:rFonts w:ascii="Times New Roman" w:hAnsi="Times New Roman" w:cs="Times New Roman" w:eastAsia="Times New Roman"/>
          <w:b w:val="false"/>
          <w:sz w:val="26"/>
        </w:rPr>
        <w:t>Trường hợp hồ sơ chưa đầy đủ thì thông báo cho Ủy ban nhân dân cấp xã biết, hoàn thiện.</w:t>
      </w:r>
    </w:p>
    <w:p>
      <w:pPr>
        <w:spacing w:after="0" w:before="0" w:lineRule="auto" w:line="276"/>
        <w:jc w:val="both"/>
      </w:pPr>
      <w:r>
        <w:rPr>
          <w:rFonts w:ascii="Times New Roman" w:hAnsi="Times New Roman" w:cs="Times New Roman" w:eastAsia="Times New Roman"/>
          <w:b w:val="false"/>
          <w:sz w:val="26"/>
        </w:rPr>
        <w:t>- Cơ quan Công an, Bảo hiểm xã hội chuyển trả kết quả đăng ký thường trú, Thẻ bảo hiểm y tế cho trẻ em về Ủy ban nhân dân cấp xã.</w:t>
      </w:r>
    </w:p>
    <w:p>
      <w:pPr>
        <w:spacing w:after="0" w:before="0" w:lineRule="auto" w:line="276"/>
        <w:jc w:val="both"/>
      </w:pPr>
      <w:r>
        <w:rPr>
          <w:rFonts w:ascii="Times New Roman" w:hAnsi="Times New Roman" w:cs="Times New Roman" w:eastAsia="Times New Roman"/>
          <w:b w:val="false"/>
          <w:sz w:val="26"/>
        </w:rPr>
        <w:t>- Bộ phận tiếp nhận và trả kết quả theo cơ chế “Một cửa” tại Ủy ban nhân dân cấp xã trả kết quả cho người có yêu cầu.</w:t>
      </w:r>
    </w:p>
    <w:p>
      <w:pPr>
        <w:spacing w:after="0" w:before="0" w:lineRule="auto" w:line="276"/>
        <w:jc w:val="both"/>
      </w:pPr>
      <w:r>
        <w:rPr>
          <w:rFonts w:ascii="Times New Roman" w:hAnsi="Times New Roman" w:cs="Times New Roman" w:eastAsia="Times New Roman"/>
          <w:b w:val="false"/>
          <w:sz w:val="26"/>
        </w:rPr>
        <w:t xml:space="preserve">      Khi trả Giấy khai sinh cho người có yêu cầu, công chức Tư pháp – hộ tịch ghi vào Sổ đăng ký khai sinh, yêu cầu người có yêu cầu ký tên vào Sổ đăng ký khai sinh và Giấy khai sinh.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có yêu cầu thực hiện trực tiếp hoặc ủy quyền cho người khác thực hiện tại Bộ phận tiếp nhận và trả kết quả theo cơ chế “Một cửa” của Ủy ban nhân dân cấp xã.</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khai sinh theo mẫu quy định.</w:t>
            </w:r>
          </w:p>
        </w:tc>
        <w:tc>
          <w:p/>
          <w:p>
            <w:pPr>
              <w:spacing w:after="0" w:before="0" w:lineRule="auto" w:line="276"/>
              <w:jc w:val="left"/>
            </w:pPr>
            <w:r>
              <w:rPr>
                <w:rFonts w:ascii="Times New Roman" w:hAnsi="Times New Roman" w:cs="Times New Roman" w:eastAsia="Times New Roman"/>
                <w:b w:val="false"/>
                <w:sz w:val="26"/>
              </w:rPr>
              <w:t>Tờ khai đăng ký khai sinh.docx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sinh do cơ sở y tế nơi trẻ em sinh ra cấp; nếu trẻ em sinh ra ngoài cơ sở y tế thì giấy chứng sinh được thay bằng văn bản xác nhận của người làm chứng; trường hợp không có người làm chứng thì người đi khai sinh phải làm giấy cam đoan về việc sinh là có thực. Đối với trường hợp trẻ em bị bỏ rơi thì nộp biên bản về việc trẻ em bị bỏ rơi thay cho giấy chứng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Phiếu báo thay đổi hộ khẩu, nhân khẩu (theo mẫu quy định); Sổ hộ khẩu của cha, mẹ (bản chính) hoặc Sổ hộ khẩu của mẹ (bản chính) đối với trường hợp trẻ em đăng ký thường trú theo mẹ hoặc Sổ hộ khẩu của cha (bản chính) đối với trường hợp trẻ em đăng ký thường trú theo cha hoặc Sổ hộ khẩu của người nuôi dưỡng, chăm sóc trẻ (bản chính) đối với trường hợp trẻ em không đăng ký thường trú theo cha, mẹ, bản sao Giấy khai sinh của trẻ.</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trẻ em không đăng ký thường trú cùng hộ khẩu với cha, mẹ mà đăng ký thường trú theo hộ khẩu của người khác thì ngoài bản sao Giấy khai sinh, phải có ý kiến bằng văn bản của cha, mẹ, có xác nhận của Ủy ban nhân dân cấp xã, ý kiến đồng ý của chủ hộ và Sổ hộ khẩu của chủ hộ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Tờ khai tham gia bảo hiểm y tế, Danh sách đề nghị cấp thẻ bảo hiểm y tế cho trẻ em dưới 6 tuổi của Ủy ban nhân dân cấp xã (theo mẫu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khai sinh, Thông báo kết quả giải quyết thủ tục về cư trú, hủy bỏ thủ tục về cư trú, Phiếu từ chối tiếp nhận, giải quyết hồ sơ (lĩnh vực cư trú), Thẻ bảo hiểm y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81/2006/QH11</w:t>
            </w:r>
          </w:p>
        </w:tc>
        <w:tc>
          <w:p/>
          <w:p>
            <w:pPr>
              <w:spacing w:after="0" w:before="0" w:lineRule="auto" w:line="276"/>
              <w:jc w:val="left"/>
            </w:pPr>
            <w:r>
              <w:rPr>
                <w:rFonts w:ascii="Times New Roman" w:hAnsi="Times New Roman" w:cs="Times New Roman" w:eastAsia="Times New Roman"/>
                <w:b w:val="false"/>
                <w:sz w:val="26"/>
              </w:rPr>
              <w:t>Luật 81/2006/QH11</w:t>
            </w:r>
          </w:p>
        </w:tc>
        <w:tc>
          <w:p/>
          <w:p>
            <w:pPr>
              <w:spacing w:after="0" w:before="0" w:lineRule="auto" w:line="276"/>
              <w:jc w:val="left"/>
            </w:pPr>
            <w:r>
              <w:rPr>
                <w:rFonts w:ascii="Times New Roman" w:hAnsi="Times New Roman" w:cs="Times New Roman" w:eastAsia="Times New Roman"/>
                <w:b w:val="false"/>
                <w:sz w:val="26"/>
              </w:rPr>
              <w:t>29-11-2006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15/2015/TT-BTP</w:t>
            </w:r>
          </w:p>
        </w:tc>
        <w:tc>
          <w:p/>
          <w:p>
            <w:pPr>
              <w:spacing w:after="0" w:before="0" w:lineRule="auto" w:line="276"/>
              <w:jc w:val="left"/>
            </w:pPr>
            <w:r>
              <w:rPr>
                <w:rFonts w:ascii="Times New Roman" w:hAnsi="Times New Roman" w:cs="Times New Roman" w:eastAsia="Times New Roman"/>
                <w:b w:val="false"/>
                <w:sz w:val="26"/>
              </w:rPr>
              <w:t>Quy định chi tiết thi hành một số điều của Luật hộ tịch và Nghị định số 123/2015/NĐ-CP ngày 15 tháng 11 năm 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16-11-2015</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05/2015/TTLT-BTP-BCA-BYT</w:t>
            </w:r>
          </w:p>
        </w:tc>
        <w:tc>
          <w:p/>
          <w:p>
            <w:pPr>
              <w:spacing w:after="0" w:before="0" w:lineRule="auto" w:line="276"/>
              <w:jc w:val="left"/>
            </w:pPr>
            <w:r>
              <w:rPr>
                <w:rFonts w:ascii="Times New Roman" w:hAnsi="Times New Roman" w:cs="Times New Roman" w:eastAsia="Times New Roman"/>
                <w:b w:val="false"/>
                <w:sz w:val="26"/>
              </w:rPr>
              <w:t>hướng dẫn thực hiện liên thông các thủ tục hành chính về đăng ký khai sinh, đăng ký thường trú, cấp thẻ bảo hiểm y tế cho trẻ em dưới 06 tuổi</w:t>
            </w:r>
          </w:p>
        </w:tc>
        <w:tc>
          <w:p/>
          <w:p>
            <w:pPr>
              <w:spacing w:after="0" w:before="0" w:lineRule="auto" w:line="276"/>
              <w:jc w:val="left"/>
            </w:pPr>
            <w:r>
              <w:rPr>
                <w:rFonts w:ascii="Times New Roman" w:hAnsi="Times New Roman" w:cs="Times New Roman" w:eastAsia="Times New Roman"/>
                <w:b w:val="false"/>
                <w:sz w:val="26"/>
              </w:rPr>
              <w:t>15-02-2015</w:t>
            </w:r>
          </w:p>
        </w:tc>
        <w:tc>
          <w:p/>
          <w:p>
            <w:pPr>
              <w:spacing w:after="0" w:before="0" w:lineRule="auto" w:line="276"/>
              <w:jc w:val="left"/>
            </w:pPr>
            <w:r>
              <w:rPr>
                <w:rFonts w:ascii="Times New Roman" w:hAnsi="Times New Roman" w:cs="Times New Roman" w:eastAsia="Times New Roman"/>
                <w:b w:val="false"/>
                <w:sz w:val="26"/>
              </w:rPr>
              <w:t>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Việc đăng ký khai sinh cho trẻ em dưới 6 tuổi thuộc thẩm quyền giải quyết của Ủy ban nhân dân cấp xã.
- Các cơ quan có thẩm quyền thực hiện liên thông các thủ tục hành chính phải cùng thuộc địa bàn một huyện, thị xã, thành phố thuộc tỉnh của tỉnh hoặc cùng thuộc địa bàn một quận, huyện, thị xã của thành phố trực thuộc trung ương.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2025-11-27T23:59:19Z</dcterms:created>
  <dc:creator>Apache POI</dc:creator>
</cp:coreProperties>
</file>