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4921/QĐ-BYT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Kiểm dịch y tế đối với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2. Thu thập thông tin trước khi phương tiện vận tải qua biên giới :
a) Số hiệu hoặc biển số của phương tiện vận tải;
b) Lộ trình của phương tiện vận tải trước khi nhập cảnh, quá cảnh, xuất cảnh;
c) Thông tin sức khỏe của người đi trên phương tiện vận tải;
d) Các thông tin cần thiết khác.</w:t>
      </w:r>
    </w:p>
    <w:p>
      <w:pPr>
        <w:spacing w:after="0" w:before="0" w:lineRule="auto" w:line="276"/>
        <w:jc w:val="both"/>
      </w:pPr>
      <w:r>
        <w:rPr>
          <w:rFonts w:ascii="Times New Roman" w:hAnsi="Times New Roman" w:cs="Times New Roman" w:eastAsia="Times New Roman"/>
          <w:b w:val="false"/>
          <w:sz w:val="26"/>
        </w:rPr>
        <w:t xml:space="preserve"> 	
Bước 1. Khai báo y tế với phương tiện vận tải:
1. Đối với tàu bay:
a) Người khai báo y tế thực hiện khai, nộp tờ khai chung hàng không và giấy chứng nhận kiểm tra/xử lý y tế hàng hóa, phương tiện vận tải đường bộ, đường sắt, đường hàng không (nếu có) cho tổ chức kiểm dịch y tế biên giới hoặc qua Cổng thông tin một cửa quốc gia trước khi phương tiện vận tải được phép nhập cảnh, xuất cảnh, quá cảnh;
b) Trong trường hợp hành khách hoặc phi hành đoàn trên chuyến bay có triệu chứng hoặc có dấu hiệu mắc bệnh truyền nhiễm, cơ trưởng hoặc tiếp viên trưởng phải liên lạc ngay với tổ chức kiểm dịch y tế biên giới tại cửa khẩu trước khi tàu bay cất, hạ cánh.
2. Đối với tàu thuyền:
a) Người khai báo y tế thực hiện khai, nộp giấy khai báo y tế hàng hải, giấy chứng nhận miễn xử lý vệ sinh tàu thuyền/chứng nhận xử lý vệ sinh tàu thuyền (nếu có), giấy chứng nhận kiểm tra y tế hàng hóa (trên tàu thuyền), tàu thuyền (nếu có) và bản khai chung cho tổ chức kiểm dịch y tế biên giới hoặc thông qua Cổng thông tin một cửa quốc gia trước 12 giờ kể từ khi tàu thuyền dự kiến nhập cảnh, xuất cảnh, quá cảnh.
3. Đối với phương tiện vận tải đường bộ, đường sắt:
Thực hiện khai, nộp giấy khai báo y tế hàng hóa, phương tiện vận tải và giấy chứng nhận kiểm tra/xử lý y tế hàng hóa, phương tiện vận tải đường bộ, đường sắt, đường hàng không (nếu có) trước khi phương tiện qua cửa khẩu.</w:t>
      </w:r>
    </w:p>
    <w:p>
      <w:pPr>
        <w:spacing w:after="0" w:before="0" w:lineRule="auto" w:line="276"/>
        <w:jc w:val="both"/>
      </w:pPr>
      <w:r>
        <w:rPr>
          <w:rFonts w:ascii="Times New Roman" w:hAnsi="Times New Roman" w:cs="Times New Roman" w:eastAsia="Times New Roman"/>
          <w:b w:val="false"/>
          <w:sz w:val="26"/>
        </w:rPr>
        <w:t xml:space="preserve"> Bước 3. Xử lý thông tin đối với phương tiện vận tải:
1. Kiểm dịch viên y tế thực hiện kiểm tra y tế theo quy định đối với phương tiện vận tải có yếu tố nguy cơ bao gồm:
a) Phương tiện vận tải đi qua quốc gia, vùng lãnh thổ có ghi nhận trường hợp bệnh truyền nhiễm mà Bộ Y tế có yêu cầu phải giám sát;
b) Phương tiện vận tải chở người bệnh hoặc người nghi ngờ mắc bệnh hoặc mang tác nhân gây bệnh truyền nhiễm;
c) Phương tiện vận tải chở hàng hóa mang tác nhân gây bệnh truyền nhiễm hoặc nghi ngờ mang tác nhân gây bệnh truyền nhiễm.
2. Trường hợp phương tiện không có yếu tố nguy cơ theo quy định, kiểm dịch viên y tế thực hiện giám sát phương tiện vận tải trong thời gian chờ nhập cảnh, xuất cảnh, quá cảnh gồm các nội dung sau:
a) Giám sát trung gian truyền bệnh truyền nhiễm xâm nhập lên, xuống phương tiện vận tải;
b) Giám sát trung gian truyền bệnh, tác nhân gây bệnh truyền nhiễm trong quá trình bốc dỡ, tiếp nhận hàng hóa.
3. Trong quá trình giám sát, nếu phát hiện phương tiện vận tải có trung gian truyền bệnh truyền nhiễm, tác nhân gây bệnh truyền nhiễm hoặc không bảo đảm điều kiện vệ sinh chung (bao gồm phát hiện chất thải, chất tiết, dấu vết của trung gian truyền bệnh; thực phẩm, rác thải sinh hoạt không được thu gom, bảo quản, xử lý đúng quy định hoặc các khu vực ăn, ở, kho chứa, nhà vệ sinh không được vệ sinh thường xuyên gây tình trạng nấm, mốc, mùi hôi thối), kiểm dịch viên y tế đề xuất biện pháp kiểm tra y tế vào giấy khai báo y tế đối với phương tiện vận tải.
4. Trường hợp phương tiện vận tải không thuộc một trong các trường hợp có yếu tố nguy cơ hoặc không cần phải kiểm tra y tế, kiểm dịch viên y tế xác nhận kết quả kiểm dịch y tế, kết thúc quy trình kiểm dịch.</w:t>
      </w:r>
    </w:p>
    <w:p>
      <w:pPr>
        <w:spacing w:after="0" w:before="0" w:lineRule="auto" w:line="276"/>
        <w:jc w:val="both"/>
      </w:pPr>
      <w:r>
        <w:rPr>
          <w:rFonts w:ascii="Times New Roman" w:hAnsi="Times New Roman" w:cs="Times New Roman" w:eastAsia="Times New Roman"/>
          <w:b w:val="false"/>
          <w:sz w:val="26"/>
        </w:rPr>
        <w:t xml:space="preserve"> Bước 4. Kiểm tra giấy tờ đối với phương tiện vận tải:
Loại giấy tờ kiểm tra:
a) Đối với tàu bay: tờ khai chung hàng không đối với tàu bay, giấy chứng nhận kiểm tra/xử lý y tế hàng hóa, phương tiện vận tải đường bộ, đường sắt, đường hàng không (nếu có);
b) Đối với tàu thuyền: giấy khai báo y tế hàng hải, giấy chứng nhận miễn xử lý vệ sinh tàu thuyền/chứng nhận xử lý vệ sinh tàu thuyền, bản khai chung (nếu có) và giấy chứng nhận kiểm tra y tế hàng hóa (trên tàu thuyền), tàu thuyền (nếu có);
c) Đối với phương tiện vận tải đường bộ, đường sắt: giấy khai báo y tế hàng hóa, phương tiện vận tải đường bộ, đường sắt và giấy chứng nhận kiểm tra/xử lý y tế hàng hóa, phương tiện vận tải đường bộ, đường sắt, đường hàng không (nếu có).</w:t>
      </w:r>
    </w:p>
    <w:p>
      <w:pPr>
        <w:spacing w:after="0" w:before="0" w:lineRule="auto" w:line="276"/>
        <w:jc w:val="both"/>
      </w:pPr>
      <w:r>
        <w:rPr>
          <w:rFonts w:ascii="Times New Roman" w:hAnsi="Times New Roman" w:cs="Times New Roman" w:eastAsia="Times New Roman"/>
          <w:b w:val="false"/>
          <w:sz w:val="26"/>
        </w:rPr>
        <w:t xml:space="preserve"> Bước 5. Kiểm tra thực tế đối với phương tiện vận tải:
Kiểm dịch viên y tế yêu cầu đưa phương tiện vận tải vào khu vực cách ly để thực hiện các nội dung sau:
a) Kiểm tra tình trạng vệ sinh chung trên phương tiện vận tải;
b) Kiểm tra trung gian truyền bệnh truyền nhiễm trên phương tiện vận tải;
c) Đánh giá hiệu quả các biện pháp xử lý y tế đã áp dụng;
d) Lấy mẫu xét nghiệm trong trường hợp nghi ngờ có tác nhân gây bệnh truyền nhiễm thuộc nhóm A.</w:t>
      </w:r>
    </w:p>
    <w:p>
      <w:pPr>
        <w:spacing w:after="0" w:before="0" w:lineRule="auto" w:line="276"/>
        <w:jc w:val="both"/>
      </w:pPr>
      <w:r>
        <w:rPr>
          <w:rFonts w:ascii="Times New Roman" w:hAnsi="Times New Roman" w:cs="Times New Roman" w:eastAsia="Times New Roman"/>
          <w:b w:val="false"/>
          <w:sz w:val="26"/>
        </w:rPr>
        <w:t xml:space="preserve"> Bước 6. Xử lý y tế đối với phương tiện vận tải:
Căn cứ kết quả kiểm tra thực tế, kiểm dịch viên y tế có thể áp dụng một hoặc các biện pháp sau:
a) Diệt tác nhân gây bệnh, trung gian truyền bệnh;
b) Thực hiện hoặc phối hợp với các cơ quan liên quan triển khai việc thu gom, xử lý chất thải có khả năng mang tác nhân gây bệnh hoặc có nguy cơ gây bệnh truyền nhiễm;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Giờ</w:t>
            </w:r>
          </w:p>
        </w:tc>
        <w:tc>
          <w:p/>
          <w:p>
            <w:pPr>
              <w:spacing w:after="0" w:before="0" w:lineRule="auto" w:line="276"/>
              <w:jc w:val="left"/>
            </w:pPr>
            <w:r>
              <w:rPr>
                <w:rFonts w:ascii="Times New Roman" w:hAnsi="Times New Roman" w:cs="Times New Roman" w:eastAsia="Times New Roman"/>
                <w:b w:val="false"/>
                <w:sz w:val="26"/>
              </w:rPr>
              <w:t>Phí : 14 USD</w:t>
              <w:t xml:space="preserve"> (Container 20 fit)</w:t>
            </w:r>
          </w:p>
          <w:p>
            <w:pPr>
              <w:spacing w:after="0" w:before="0" w:lineRule="auto" w:line="276"/>
              <w:jc w:val="left"/>
            </w:pPr>
            <w:r>
              <w:rPr>
                <w:rFonts w:ascii="Times New Roman" w:hAnsi="Times New Roman" w:cs="Times New Roman" w:eastAsia="Times New Roman"/>
                <w:b w:val="false"/>
                <w:sz w:val="26"/>
              </w:rPr>
              <w:t>Phí : 18 USD</w:t>
              <w:t xml:space="preserve"> (Tàu thuyền chở khách dưới 150 chỗ ngồi)</w:t>
            </w:r>
          </w:p>
          <w:p>
            <w:pPr>
              <w:spacing w:after="0" w:before="0" w:lineRule="auto" w:line="276"/>
              <w:jc w:val="left"/>
            </w:pPr>
            <w:r>
              <w:rPr>
                <w:rFonts w:ascii="Times New Roman" w:hAnsi="Times New Roman" w:cs="Times New Roman" w:eastAsia="Times New Roman"/>
                <w:b w:val="false"/>
                <w:sz w:val="26"/>
              </w:rPr>
              <w:t>Phí : 25 USD</w:t>
              <w:t xml:space="preserve"> (Tàu bay các loại)</w:t>
            </w:r>
          </w:p>
          <w:p>
            <w:pPr>
              <w:spacing w:after="0" w:before="0" w:lineRule="auto" w:line="276"/>
              <w:jc w:val="left"/>
            </w:pPr>
            <w:r>
              <w:rPr>
                <w:rFonts w:ascii="Times New Roman" w:hAnsi="Times New Roman" w:cs="Times New Roman" w:eastAsia="Times New Roman"/>
                <w:b w:val="false"/>
                <w:sz w:val="26"/>
              </w:rPr>
              <w:t>Phí : 26 USD</w:t>
              <w:t xml:space="preserve"> (Tàu thuyền, tàu kéo, tàu đẩy, xà lan tự hành sông biển trọng tải dưới 5000 GRT)</w:t>
            </w:r>
          </w:p>
          <w:p>
            <w:pPr>
              <w:spacing w:after="0" w:before="0" w:lineRule="auto" w:line="276"/>
              <w:jc w:val="left"/>
            </w:pPr>
            <w:r>
              <w:rPr>
                <w:rFonts w:ascii="Times New Roman" w:hAnsi="Times New Roman" w:cs="Times New Roman" w:eastAsia="Times New Roman"/>
                <w:b w:val="false"/>
                <w:sz w:val="26"/>
              </w:rPr>
              <w:t>Phí : 28 USD</w:t>
              <w:t xml:space="preserve"> (Container 40 fit)</w:t>
            </w:r>
          </w:p>
          <w:p>
            <w:pPr>
              <w:spacing w:after="0" w:before="0" w:lineRule="auto" w:line="276"/>
              <w:jc w:val="left"/>
            </w:pPr>
            <w:r>
              <w:rPr>
                <w:rFonts w:ascii="Times New Roman" w:hAnsi="Times New Roman" w:cs="Times New Roman" w:eastAsia="Times New Roman"/>
                <w:b w:val="false"/>
                <w:sz w:val="26"/>
              </w:rPr>
              <w:t>Phí : 35 USD</w:t>
              <w:t xml:space="preserve"> (Tàu bay chở hàng hóa các loạ)</w:t>
            </w:r>
          </w:p>
          <w:p>
            <w:pPr>
              <w:spacing w:after="0" w:before="0" w:lineRule="auto" w:line="276"/>
              <w:jc w:val="left"/>
            </w:pPr>
            <w:r>
              <w:rPr>
                <w:rFonts w:ascii="Times New Roman" w:hAnsi="Times New Roman" w:cs="Times New Roman" w:eastAsia="Times New Roman"/>
                <w:b w:val="false"/>
                <w:sz w:val="26"/>
              </w:rPr>
              <w:t>Phí : 39 USD</w:t>
              <w:t xml:space="preserve"> (Tàu thuyền, tàu kéo, tàu đẩy, xà lan tự hành sông biển trọng tải từ 5000 GRT trở lên)</w:t>
            </w:r>
          </w:p>
          <w:p>
            <w:pPr>
              <w:spacing w:after="0" w:before="0" w:lineRule="auto" w:line="276"/>
              <w:jc w:val="left"/>
            </w:pPr>
            <w:r>
              <w:rPr>
                <w:rFonts w:ascii="Times New Roman" w:hAnsi="Times New Roman" w:cs="Times New Roman" w:eastAsia="Times New Roman"/>
                <w:b w:val="false"/>
                <w:sz w:val="26"/>
              </w:rPr>
              <w:t>Phí : 40 USD</w:t>
              <w:t xml:space="preserve"> (Khử trùng nước dằn tàu với Tàu thuyền đang chứa dưới 1000 tấn)</w:t>
            </w:r>
          </w:p>
          <w:p>
            <w:pPr>
              <w:spacing w:after="0" w:before="0" w:lineRule="auto" w:line="276"/>
              <w:jc w:val="left"/>
            </w:pPr>
            <w:r>
              <w:rPr>
                <w:rFonts w:ascii="Times New Roman" w:hAnsi="Times New Roman" w:cs="Times New Roman" w:eastAsia="Times New Roman"/>
                <w:b w:val="false"/>
                <w:sz w:val="26"/>
              </w:rPr>
              <w:t>Phí : 45 USD</w:t>
              <w:t xml:space="preserve"> (Tàu bay chở người dưới 300 chỗ ngồi)</w:t>
            </w:r>
          </w:p>
          <w:p>
            <w:pPr>
              <w:spacing w:after="0" w:before="0" w:lineRule="auto" w:line="276"/>
              <w:jc w:val="left"/>
            </w:pPr>
            <w:r>
              <w:rPr>
                <w:rFonts w:ascii="Times New Roman" w:hAnsi="Times New Roman" w:cs="Times New Roman" w:eastAsia="Times New Roman"/>
                <w:b w:val="false"/>
                <w:sz w:val="26"/>
              </w:rPr>
              <w:t>Phí : 65 USD</w:t>
              <w:t xml:space="preserve"> (Kiểm tra y tế và Gia hạn hoặc cấp lại Giấy chứng nhận miễn xử lý /xử lý vệ sinh tàu thuyền (gồm cả lần đầu, cấp lại))</w:t>
            </w:r>
          </w:p>
          <w:p>
            <w:pPr>
              <w:spacing w:after="0" w:before="0" w:lineRule="auto" w:line="276"/>
              <w:jc w:val="left"/>
            </w:pPr>
            <w:r>
              <w:rPr>
                <w:rFonts w:ascii="Times New Roman" w:hAnsi="Times New Roman" w:cs="Times New Roman" w:eastAsia="Times New Roman"/>
                <w:b w:val="false"/>
                <w:sz w:val="26"/>
              </w:rPr>
              <w:t>Phí : 65 USD</w:t>
              <w:t xml:space="preserve"> (Tàu bay chở người từ 300 chỗ ngồi trở lên)</w:t>
            </w:r>
          </w:p>
          <w:p>
            <w:pPr>
              <w:spacing w:after="0" w:before="0" w:lineRule="auto" w:line="276"/>
              <w:jc w:val="left"/>
            </w:pPr>
            <w:r>
              <w:rPr>
                <w:rFonts w:ascii="Times New Roman" w:hAnsi="Times New Roman" w:cs="Times New Roman" w:eastAsia="Times New Roman"/>
                <w:b w:val="false"/>
                <w:sz w:val="26"/>
              </w:rPr>
              <w:t>Phí : 65 USD</w:t>
              <w:t xml:space="preserve"> (Khử trùng nước dằn tàu với Tàu thuyền đang chứa từ 1000 tấn trở lên)</w:t>
            </w:r>
          </w:p>
          <w:p>
            <w:pPr>
              <w:spacing w:after="0" w:before="0" w:lineRule="auto" w:line="276"/>
              <w:jc w:val="left"/>
            </w:pPr>
            <w:r>
              <w:rPr>
                <w:rFonts w:ascii="Times New Roman" w:hAnsi="Times New Roman" w:cs="Times New Roman" w:eastAsia="Times New Roman"/>
                <w:b w:val="false"/>
                <w:sz w:val="26"/>
              </w:rPr>
              <w:t>Phí : 75 USD</w:t>
              <w:t xml:space="preserve"> (Tàu thuyền chở khách từ 150 chỗ ngồi trở lên)</w:t>
            </w:r>
          </w:p>
          <w:p>
            <w:pPr>
              <w:spacing w:after="0" w:before="0" w:lineRule="auto" w:line="276"/>
              <w:jc w:val="left"/>
            </w:pPr>
            <w:r>
              <w:rPr>
                <w:rFonts w:ascii="Times New Roman" w:hAnsi="Times New Roman" w:cs="Times New Roman" w:eastAsia="Times New Roman"/>
                <w:b w:val="false"/>
                <w:sz w:val="26"/>
              </w:rPr>
              <w:t>Phí : 95 USD</w:t>
              <w:t xml:space="preserve"> (Tàu biển trọng tải dưới 10.000 GRT)</w:t>
            </w:r>
          </w:p>
          <w:p>
            <w:pPr>
              <w:spacing w:after="0" w:before="0" w:lineRule="auto" w:line="276"/>
              <w:jc w:val="left"/>
            </w:pPr>
            <w:r>
              <w:rPr>
                <w:rFonts w:ascii="Times New Roman" w:hAnsi="Times New Roman" w:cs="Times New Roman" w:eastAsia="Times New Roman"/>
                <w:b w:val="false"/>
                <w:sz w:val="26"/>
              </w:rPr>
              <w:t>Phí : 0.4 USD</w:t>
              <w:t xml:space="preserve"> (Kho hàng, container các loại)</w:t>
            </w:r>
          </w:p>
          <w:p>
            <w:pPr>
              <w:spacing w:after="0" w:before="0" w:lineRule="auto" w:line="276"/>
              <w:jc w:val="left"/>
            </w:pPr>
            <w:r>
              <w:rPr>
                <w:rFonts w:ascii="Times New Roman" w:hAnsi="Times New Roman" w:cs="Times New Roman" w:eastAsia="Times New Roman"/>
                <w:b w:val="false"/>
                <w:sz w:val="26"/>
              </w:rPr>
              <w:t>Phí : 0.5 USD</w:t>
              <w:t xml:space="preserve"> (Tàu thuyền các loại)</w:t>
            </w:r>
          </w:p>
          <w:p>
            <w:pPr>
              <w:spacing w:after="0" w:before="0" w:lineRule="auto" w:line="276"/>
              <w:jc w:val="left"/>
            </w:pPr>
            <w:r>
              <w:rPr>
                <w:rFonts w:ascii="Times New Roman" w:hAnsi="Times New Roman" w:cs="Times New Roman" w:eastAsia="Times New Roman"/>
                <w:b w:val="false"/>
                <w:sz w:val="26"/>
              </w:rPr>
              <w:t>Phí : 0.5 USD</w:t>
              <w:t xml:space="preserve"> (Tàu bay các loại)</w:t>
            </w:r>
          </w:p>
          <w:p>
            <w:pPr>
              <w:spacing w:after="0" w:before="0" w:lineRule="auto" w:line="276"/>
              <w:jc w:val="left"/>
            </w:pPr>
            <w:r>
              <w:rPr>
                <w:rFonts w:ascii="Times New Roman" w:hAnsi="Times New Roman" w:cs="Times New Roman" w:eastAsia="Times New Roman"/>
                <w:b w:val="false"/>
                <w:sz w:val="26"/>
              </w:rPr>
              <w:t>Phí : 0.9 USD</w:t>
              <w:t xml:space="preserve"> (Diệt chuột bằng xông hơi hóa chất)</w:t>
            </w:r>
          </w:p>
          <w:p>
            <w:pPr>
              <w:spacing w:after="0" w:before="0" w:lineRule="auto" w:line="276"/>
              <w:jc w:val="left"/>
            </w:pPr>
            <w:r>
              <w:rPr>
                <w:rFonts w:ascii="Times New Roman" w:hAnsi="Times New Roman" w:cs="Times New Roman" w:eastAsia="Times New Roman"/>
                <w:b w:val="false"/>
                <w:sz w:val="26"/>
              </w:rPr>
              <w:t>Phí : 110 USD</w:t>
              <w:t xml:space="preserve"> (Tàu biển trọng tải từ 10.000 GRT trở lên)</w:t>
            </w:r>
          </w:p>
          <w:p>
            <w:pPr>
              <w:spacing w:after="0" w:before="0" w:lineRule="auto" w:line="276"/>
              <w:jc w:val="left"/>
            </w:pPr>
            <w:r>
              <w:rPr>
                <w:rFonts w:ascii="Times New Roman" w:hAnsi="Times New Roman" w:cs="Times New Roman" w:eastAsia="Times New Roman"/>
                <w:b w:val="false"/>
                <w:sz w:val="26"/>
              </w:rPr>
              <w:t>Phí : 130 USD</w:t>
              <w:t xml:space="preserve"> (Kiểm tra y tế và cấp Giấy chứng nhận miễn xử lý /xử lý vệ sinh tàu thuyền (gồm cả lần đầu, cấp lại))</w:t>
            </w:r>
          </w:p>
          <w:p>
            <w:pPr>
              <w:spacing w:after="0" w:before="0" w:lineRule="auto" w:line="276"/>
              <w:jc w:val="left"/>
            </w:pPr>
            <w:r>
              <w:rPr>
                <w:rFonts w:ascii="Times New Roman" w:hAnsi="Times New Roman" w:cs="Times New Roman" w:eastAsia="Times New Roman"/>
                <w:b w:val="false"/>
                <w:sz w:val="26"/>
              </w:rPr>
              <w:t>Phí : 0.14 USD</w:t>
              <w:t xml:space="preserve"> ( Kho hàng)</w:t>
            </w:r>
          </w:p>
          <w:p>
            <w:pPr>
              <w:spacing w:after="0" w:before="0" w:lineRule="auto" w:line="276"/>
              <w:jc w:val="left"/>
            </w:pPr>
            <w:r>
              <w:rPr>
                <w:rFonts w:ascii="Times New Roman" w:hAnsi="Times New Roman" w:cs="Times New Roman" w:eastAsia="Times New Roman"/>
                <w:b w:val="false"/>
                <w:sz w:val="26"/>
              </w:rPr>
              <w:t>Phí : 0.42 USD</w:t>
              <w:t xml:space="preserve"> (Tàu biển các loại)</w:t>
            </w:r>
          </w:p>
          <w:p>
            <w:pPr>
              <w:spacing w:after="0" w:before="0" w:lineRule="auto" w:line="276"/>
              <w:jc w:val="left"/>
            </w:pPr>
            <w:r>
              <w:rPr>
                <w:rFonts w:ascii="Times New Roman" w:hAnsi="Times New Roman" w:cs="Times New Roman" w:eastAsia="Times New Roman"/>
                <w:b w:val="false"/>
                <w:sz w:val="26"/>
              </w:rPr>
              <w:t>Phí : 21000 Đồng</w:t>
              <w:t xml:space="preserve"> (Phương tiện đường bộ các loại tải trọng dưới 5 tấn (công nông, xe tải, xe bán tải, xe con, xe khách, xe khác))</w:t>
            </w:r>
          </w:p>
          <w:p>
            <w:pPr>
              <w:spacing w:after="0" w:before="0" w:lineRule="auto" w:line="276"/>
              <w:jc w:val="left"/>
            </w:pPr>
            <w:r>
              <w:rPr>
                <w:rFonts w:ascii="Times New Roman" w:hAnsi="Times New Roman" w:cs="Times New Roman" w:eastAsia="Times New Roman"/>
                <w:b w:val="false"/>
                <w:sz w:val="26"/>
              </w:rPr>
              <w:t>Phí : 25000 Đồng</w:t>
              <w:t xml:space="preserve"> (Phương tiện đường bộ các loại (công nông, xe tải, xe bán tải, xe con, xe khách, xe khác) tải trọng dưới 5 tấn)</w:t>
            </w:r>
          </w:p>
          <w:p>
            <w:pPr>
              <w:spacing w:after="0" w:before="0" w:lineRule="auto" w:line="276"/>
              <w:jc w:val="left"/>
            </w:pPr>
            <w:r>
              <w:rPr>
                <w:rFonts w:ascii="Times New Roman" w:hAnsi="Times New Roman" w:cs="Times New Roman" w:eastAsia="Times New Roman"/>
                <w:b w:val="false"/>
                <w:sz w:val="26"/>
              </w:rPr>
              <w:t>Phí : 25000 Đồng</w:t>
              <w:t xml:space="preserve"> (Phương tiện đường bộ các loại qua lại biên giới tải trọng dưới 5 tấn (công nông, xe tải, xe con, xe khách, xe khác))</w:t>
            </w:r>
          </w:p>
          <w:p>
            <w:pPr>
              <w:spacing w:after="0" w:before="0" w:lineRule="auto" w:line="276"/>
              <w:jc w:val="left"/>
            </w:pPr>
            <w:r>
              <w:rPr>
                <w:rFonts w:ascii="Times New Roman" w:hAnsi="Times New Roman" w:cs="Times New Roman" w:eastAsia="Times New Roman"/>
                <w:b w:val="false"/>
                <w:sz w:val="26"/>
              </w:rPr>
              <w:t>Phí : 35000 Đồng</w:t>
              <w:t xml:space="preserve"> (Phương tiện thủy các loại (gồm tàu thuyền chở hàng hóa, chở người, ghe, đò, xuồng, tàu kéo, tàu đẩy) qua lại biên giới)</w:t>
            </w:r>
          </w:p>
          <w:p>
            <w:pPr>
              <w:spacing w:after="0" w:before="0" w:lineRule="auto" w:line="276"/>
              <w:jc w:val="left"/>
            </w:pPr>
            <w:r>
              <w:rPr>
                <w:rFonts w:ascii="Times New Roman" w:hAnsi="Times New Roman" w:cs="Times New Roman" w:eastAsia="Times New Roman"/>
                <w:b w:val="false"/>
                <w:sz w:val="26"/>
              </w:rPr>
              <w:t>Phí : 35000 Đồng</w:t>
              <w:t xml:space="preserve"> (Phương tiện đường bộ các loại (công nông, xe tải, xe bán tải, xe con, xe khách, xe khác) tải trọng từ 5 tấn trở lên)</w:t>
            </w:r>
          </w:p>
          <w:p>
            <w:pPr>
              <w:spacing w:after="0" w:before="0" w:lineRule="auto" w:line="276"/>
              <w:jc w:val="left"/>
            </w:pPr>
            <w:r>
              <w:rPr>
                <w:rFonts w:ascii="Times New Roman" w:hAnsi="Times New Roman" w:cs="Times New Roman" w:eastAsia="Times New Roman"/>
                <w:b w:val="false"/>
                <w:sz w:val="26"/>
              </w:rPr>
              <w:t>Phí : 35000 Đồng</w:t>
              <w:t xml:space="preserve"> (Tàu thuyền các loại (gồm tàu chở người, chở hàng, ghe, đò, xuồng, tàu kéo, tàu đẩy))</w:t>
            </w:r>
          </w:p>
          <w:p>
            <w:pPr>
              <w:spacing w:after="0" w:before="0" w:lineRule="auto" w:line="276"/>
              <w:jc w:val="left"/>
            </w:pPr>
            <w:r>
              <w:rPr>
                <w:rFonts w:ascii="Times New Roman" w:hAnsi="Times New Roman" w:cs="Times New Roman" w:eastAsia="Times New Roman"/>
                <w:b w:val="false"/>
                <w:sz w:val="26"/>
              </w:rPr>
              <w:t>Phí : 40000 Đồng</w:t>
              <w:t xml:space="preserve"> (Phương tiện đường bộ các loại qua lại biên giới tải trọng từ 5 tấn đến 30 tấn (công nông, xe tải, xe con, xe khách, xe khác))</w:t>
            </w:r>
          </w:p>
          <w:p>
            <w:pPr>
              <w:spacing w:after="0" w:before="0" w:lineRule="auto" w:line="276"/>
              <w:jc w:val="left"/>
            </w:pPr>
            <w:r>
              <w:rPr>
                <w:rFonts w:ascii="Times New Roman" w:hAnsi="Times New Roman" w:cs="Times New Roman" w:eastAsia="Times New Roman"/>
                <w:b w:val="false"/>
                <w:sz w:val="26"/>
              </w:rPr>
              <w:t>Phí : 50000 Đồng</w:t>
              <w:t xml:space="preserve"> ( Tàu hỏa (Theo Toa, đầu tàu, xe goòng tính bằng một toa) 	)</w:t>
            </w:r>
          </w:p>
          <w:p>
            <w:pPr>
              <w:spacing w:after="0" w:before="0" w:lineRule="auto" w:line="276"/>
              <w:jc w:val="left"/>
            </w:pPr>
            <w:r>
              <w:rPr>
                <w:rFonts w:ascii="Times New Roman" w:hAnsi="Times New Roman" w:cs="Times New Roman" w:eastAsia="Times New Roman"/>
                <w:b w:val="false"/>
                <w:sz w:val="26"/>
              </w:rPr>
              <w:t>Phí : 55000 Đồng</w:t>
              <w:t xml:space="preserve"> ( 	  Phương tiện đường bộ các loại qua lại biên giới tải trọng trên 30 tấn)</w:t>
            </w:r>
          </w:p>
          <w:p>
            <w:pPr>
              <w:spacing w:after="0" w:before="0" w:lineRule="auto" w:line="276"/>
              <w:jc w:val="left"/>
            </w:pPr>
            <w:r>
              <w:rPr>
                <w:rFonts w:ascii="Times New Roman" w:hAnsi="Times New Roman" w:cs="Times New Roman" w:eastAsia="Times New Roman"/>
                <w:b w:val="false"/>
                <w:sz w:val="26"/>
              </w:rPr>
              <w:t>Phí : 65000 Đồng</w:t>
              <w:t xml:space="preserve"> (Phương tiện đường bộ các loại tải trọng từ 5 tấn trở lên (công nông, xe tải, xe bán tải, xe con, xe khách, xe khác))</w:t>
            </w:r>
          </w:p>
          <w:p>
            <w:pPr>
              <w:spacing w:after="0" w:before="0" w:lineRule="auto" w:line="276"/>
              <w:jc w:val="left"/>
            </w:pPr>
            <w:r>
              <w:rPr>
                <w:rFonts w:ascii="Times New Roman" w:hAnsi="Times New Roman" w:cs="Times New Roman" w:eastAsia="Times New Roman"/>
                <w:b w:val="false"/>
                <w:sz w:val="26"/>
              </w:rPr>
              <w:t>Phí : 70000 Đồng</w:t>
              <w:t xml:space="preserve"> (Tàu hỏa (Theo Toa, đầu tàu, xe goòng tính bằng một toa))</w:t>
            </w:r>
          </w:p>
          <w:p>
            <w:pPr>
              <w:spacing w:after="0" w:before="0" w:lineRule="auto" w:line="276"/>
              <w:jc w:val="left"/>
            </w:pPr>
            <w:r>
              <w:rPr>
                <w:rFonts w:ascii="Times New Roman" w:hAnsi="Times New Roman" w:cs="Times New Roman" w:eastAsia="Times New Roman"/>
                <w:b w:val="false"/>
                <w:sz w:val="26"/>
              </w:rPr>
              <w:t>Phí : 130000 Đồng</w:t>
              <w:t xml:space="preserve"> (Tàu hỏa (Đầu tàu, xe goòng tính bằng một toa))</w:t>
            </w:r>
          </w:p>
        </w:tc>
        <w:tc>
          <w:p/>
          <w:p>
            <w:pPr>
              <w:spacing w:after="0" w:before="0" w:lineRule="auto" w:line="276"/>
              <w:jc w:val="left"/>
            </w:pPr>
            <w:r>
              <w:rPr>
                <w:rFonts w:ascii="Times New Roman" w:hAnsi="Times New Roman" w:cs="Times New Roman" w:eastAsia="Times New Roman"/>
                <w:b w:val="false"/>
                <w:sz w:val="26"/>
              </w:rPr>
              <w:t xml:space="preserve"> Thời gian hoàn thành việc giám sát đối với một phương tiện vận tải không quá 01 giờ đối với phương tiện đường bộ, đường hàng không; 02 giờ đối với phương tiện đường sắt, đường thủy.
- Thời gian hoàn thành việc kiểm tra giấy tờ một phương tiện vận tải không quá 20 phút kể từ khi nhận đủ giấy tờ.
- Thời gian hoàn thành việc kiểm tra thực tế không quá 01 giờ đối với phương tiện vận tải đường bộ, đường hàng không; 02 giờ đối với phương tiện vận tải đường sắt, đường thủy. Trường hợp quá thời gian kiểm tra nhưng chưa hoàn thành công tác chuyên môn, nghiệp vụ kiểm dịch y tế, trước khi hết thời gian quy định 15 phút, tổ chức kiểm dịch y tế biên giới phải thông báo việc gia hạn thời gian kiểm tra thực tế và nêu rõ lý do cho người khai báo y tế biết, thời gian gia hạn không quá 01 giờ.
- Thời gian cấp giấy chứng nhận miễn xử lý vệ sinh tàu thuyền/chứng nhận xử lý vệ sinh tàu thuyền không quá 30 phút sau khi hoàn thành việc xử lý y tế.
- Thời gian hoàn thành các biện pháp xử lý y tế:
   + Không quá 01 giờ đối với một phương tiện vận tải đường bộ hoặc một toa tàu hỏa, một tàu bay;
   + Không quá 06 giờ đối với cả đoàn tàu hỏa hoặc một tàu thuyền kể từ thời điểm phát hiện ra phương tiện vận tải thuộc diện phải xử lý y tế.
   + Không quá 24 giờ đối với tàu thuyền trong trường hợp phải xử lý y tế bằng hình thức bẫy chuột, đặt mồi, xông hơi diệt chuột.
   + Trước khi hết thời gian quy định 15 phút mà vẫn chưa hoàn thành việc xử lý y tế, tổ chức kiểm dịch y tế biên giới phải thông báo việc gia hạn thời gian xử lý y tế bằng văn bản và nêu rõ lý do cho người khai báo y tế. Thời gian gia hạn không quá 01 giờ đối với một phương tiện vận tải đường bộ hoặc một toa tàu hỏa hoặc một tàu bay; không quá 04 giờ đối với cả đoàn tàu hỏa hoặc một tàu thuyền kể từ thời điểm có thông báo gia hạn.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tàu bay: tờ khai chung hàng không đối với tàu bay, giấy chứng nhận kiểm tra/xử lý y tế hàng hóa, phương tiện vận tải đường bộ, đường sắt, đường hàng không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tàu thuyền: giấy khai báo y tế hàng hải, giấy chứng nhận miễn xử lý vệ sinh tàu thuyền/chứng nhận xử lý vệ sinh tàu thuyền, bản khai chung (nếu có) và giấy chứng nhận kiểm tra y tế hàng hóa (trên tàu thuyền), tàu thuyền (nếu có);</w:t>
            </w:r>
          </w:p>
        </w:tc>
        <w:tc>
          <w:p/>
          <w:p>
            <w:pPr>
              <w:spacing w:after="0" w:before="0" w:lineRule="auto" w:line="276"/>
              <w:jc w:val="left"/>
            </w:pPr>
            <w:r>
              <w:rPr>
                <w:rFonts w:ascii="Times New Roman" w:hAnsi="Times New Roman" w:cs="Times New Roman" w:eastAsia="Times New Roman"/>
                <w:b w:val="false"/>
                <w:sz w:val="26"/>
              </w:rPr>
              <w:t>mẫu đơn(1).docx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phương tiện vận tải đường bộ, đường sắt: giấy khai báo y tế hàng hóa, phương tiện vận tải đường bộ, đường sắt và giấy chứng nhận kiểm tra/xử lý y tế hàng hóa, phương tiện vận tải đường bộ, đường sắt, đường hàng không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Trường hợp người khai báo y tế yêu cầu kiểm tra, xử lý y tế phương tiện vận tải để cấp giấy chứng nhận kiểm tra/xử lý y tế hàng hóa, phương tiện vận tải đường bộ, đường sắt, đường hàng không hoặc giấy chứng nhận miễn xử lý vệ sinh tàu thuyền/chứng nhận vệ sinh tàu thuyền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kiểm dịch Y tế Quốc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không cần phải kiểm tra y tế, Biên bản kiểm tra, Giấy chứng nhận kiểm tra/xử lý, Giấy chứng nhận miễn xử lý vệ sinh đối với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03/2007/QH12</w:t>
            </w:r>
          </w:p>
        </w:tc>
        <w:tc>
          <w:p/>
          <w:p>
            <w:pPr>
              <w:spacing w:after="0" w:before="0" w:lineRule="auto" w:line="276"/>
              <w:jc w:val="left"/>
            </w:pPr>
            <w:r>
              <w:rPr>
                <w:rFonts w:ascii="Times New Roman" w:hAnsi="Times New Roman" w:cs="Times New Roman" w:eastAsia="Times New Roman"/>
                <w:b w:val="false"/>
                <w:sz w:val="26"/>
              </w:rPr>
              <w:t>Luật 03/2007/QH12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89/2018/NĐ-CP</w:t>
            </w:r>
          </w:p>
        </w:tc>
        <w:tc>
          <w:p/>
          <w:p>
            <w:pPr>
              <w:spacing w:after="0" w:before="0" w:lineRule="auto" w:line="276"/>
              <w:jc w:val="left"/>
            </w:pPr>
            <w:r>
              <w:rPr>
                <w:rFonts w:ascii="Times New Roman" w:hAnsi="Times New Roman" w:cs="Times New Roman" w:eastAsia="Times New Roman"/>
                <w:b w:val="false"/>
                <w:sz w:val="26"/>
              </w:rPr>
              <w:t>Nghị định 89/2018/NĐ-CP</w:t>
            </w:r>
          </w:p>
        </w:tc>
        <w:tc>
          <w:p/>
          <w:p>
            <w:pPr>
              <w:spacing w:after="0" w:before="0" w:lineRule="auto" w:line="276"/>
              <w:jc w:val="left"/>
            </w:pPr>
            <w:r>
              <w:rPr>
                <w:rFonts w:ascii="Times New Roman" w:hAnsi="Times New Roman" w:cs="Times New Roman" w:eastAsia="Times New Roman"/>
                <w:b w:val="false"/>
                <w:sz w:val="26"/>
              </w:rPr>
              <w:t>25-06-2018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2025-11-27T23:59:43Z</dcterms:created>
  <dc:creator>Apache POI</dc:creator>
</cp:coreProperties>
</file>