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2.002036</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2358/QĐ-BTP</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thôi quốc tịch Việt Nam ở trong nước</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Quốc tịch</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Người xin thôi quốc tịch Việt Nam cư trú ở trong nước nộp hồ sơ tại Sở Tư pháp, nơi người đó cư trú, không ủy quyền cho người khác nộp hồ sơ. 
- Người thụ lý hồ sơ có trách nhiệm kiểm tra tính hợp lệ của giấy tờ trong hồ sơ. Trường hợp hồ sơ chưa đầy đủ, chưa chính xác theo quy định thì phải hướng dẫn ngay người xin thôi quốc tịch Việt nam bổ sung, hoàn thiện hồ sơ và nêu rõ lý do theo mẫu Phiếu yêu cầu bổ sung, hoàn thiện hồ sơ; trường hợp hồ sơ đầy đủ, chính xác theo quy định thì tiếp nhận hồ sơ và ghi vào Sổ thụ lý hồ sơ quốc tịch. 
 - Trong thời hạn 05 ngày làm việc, kể từ ngày nhận đủ hồ sơ hợp lệ, Sở Tư pháp có trách nhiệm:
+ Đăng thông báo về việc xin thôi quốc tịch Việt Nam trên một tờ báo viết hoặc báo điện tử ở địa phương trong ba số liên tiếp và gửi đăng trên Trang thông tin điện tử của Bộ Tư pháp. Thông báo trên Trang thông tin điện tử phải được lưu giữ trong thời gian ít nhất 30 ngày, kể từ ngày đăng thông báo.
Kể từ ngày Sở Tư pháp đăng tải thông tin về người xin thôi quốc tịch Việt Nam theo quy định tại khoản 2 Điều 29 Luật Quốc tịch Việt Nam, cơ quan Công an, cơ quan Thi hành án dân sự, cơ quan quản lý thuế hoặc cơ quan, tổ chức, cá nhân khác nếu phát hiện thấy người xin thôi quốc tịch Việt Nam thuộc trường hợp chưa được thôi hoặc không được thôi quốc tịch Việt Nam theo quy định tại các khoản 2, khoản 3, khoản 4 Điều 27 Luật Quốc tịch Việt Nam và khoản 2 Điều 22 Nghị định số 191/2025/NĐ-CP thì phải kịp thời thông báo cho Sở Tư pháp, nơi đã đăng tải thông tin. 
+ Đề nghị cơ quan Công an cấp tỉnh xác minh về nhân thân của người xin thôi quốc tịch Việt Nam.
- Trong thời hạn 20 ngày, kể từ ngày nhận được văn bản đề nghị của Sở Tư pháp, cơ quan Công an cấp tỉnh có trách nhiệm xác minh và gửi kết quả đến Sở Tư pháp. Trong thời gian này, Sở Tư pháp phải tiến hành thẩm tra giấy tờ trong hồ sơ xin thôi quốc tịch Việt Nam, lập danh mục đầy đủ các giấy tờ trong từng hồ sơ, kèm danh sách những người xin thôi quốc tịch theo mẫu quy định.
- Trong thời hạn 05 ngày làm việc, kể từ ngày nhận được kết quả xác minh, Sở Tư pháp có trách nhiệm hoàn tất hồ sơ trình Chủ tịch Ủy ban nhân dân cấp tỉnh.
- Trong thời hạn 05 ngày làm việc kể từ ngày nhận được đề nghị của Sở Tư pháp, Chủ tịch Ủy ban nhân dân cấp tỉnh có trách nhiệm xem xét, kết luận và đề xuất ý kiến gửi Bộ Tư pháp.
- Trong thời hạn 20 ngày, kể từ ngày nhận được văn bản đề xuất của Chủ tịch Ủy ban nhân dân cấp tỉnh, Bộ Tư pháp có trách nhiệm kiểm tra lại hồ sơ, nếu xét thấy người xin thôi quốc tịch Việt Nam có đủ điều kiện được thôi quốc tịch Việt Nam thì Bộ trưởng Bộ Tư pháp thừa ủy quyền Thủ tướng Chính phủ ký Tờ trình trình Chủ tịch nước xem xét, quyết định.
Nếu xét thấy hồ sơ xin thôi quốc tịch Việt Nam chưa đầy đủ, người xin thôi quốc tịch chưa đáp ứng đủ điều kiện thôi quốc tịch Việt Nam, Bộ Tư pháp quyết định từ chối giải quyết hồ sơ.
- Trong thời hạn 20 ngày, kể từ ngày nhận được đề nghị của Thủ tướng Chính phủ, Chủ tịch nước xem xét, quyết định.
- Sau khi có Quyết định cho thôi quốc tịch Việt Nam của Chủ tịch nước, Bộ Tư pháp đăng tải trên Trang thông tin điện tử của Bộ Tư pháp.
- Trong thời hạn 07 ngày làm việc, kể từ ngày nhận được Quyết định cho thôi quốc tịch Việt Nam, Bộ Tư pháp gửi kết quả giải quyết cho Uỷ ban nhân dân cấp tỉnh để thông báo cho người có yêu cầu và để theo dõi, quản lý, thống kê các việc đã giải quyết về quốc tịch.
- Trong thời hạn 07 ngày làm việc, kể từ ngày nhận được Quyết định cho thôi quốc tịch Việt Nam, Bộ Tư pháp thông báo bằng văn bản cho Sở Tư pháp, nơi đã đăng ký hộ tịch của người đó để ghi chú hoặc hướng dẫn ghi chú vào sổ hộ tịch. Nội dung ghi chú gồm: số Quyết định; ngày, tháng, năm ban hành Quyết định; nội dung Quyết định; người thực hiện ghi chú phải ký, ghi rõ họ tên và ngày tháng năm ghi chú. 
Trong trường hợp Sở Tư pháp nhận được thông báo ghi chú nhưng không còn lưu giữ được sổ hộ tịch trước đây thì lập Sổ để theo dõi, quản lý và giải quyết các việc về hộ tịch, quốc tịch có liên quan.
	Trong trường hợp Cơ sở dữ liệu quốc tịch đã được kết nối, chia sẻ với Cơ sở dữ liệu hộ tịch điện tử thì việc thông báo thay đổi quốc tịch được thực hiện trên môi trường điện tử.
	- Trường hợp người được thôi quốc tịch Việt Nam đang cư trú tại Việt Nam thì trong thời hạn 07 ngày làm việc, kể từ ngày nhận Quyết định cho thôi quốc tịch, Bộ Tư pháp thông báo cho Bộ Công an để chỉ đạo cơ quan Công an có thẩm quyền xóa đăng ký thường trú, thu hồi và hủy giá trị sử dụng Hộ chiếu Việt Nam, thẻ Căn cước công dân, thẻ căn cước, khóa Căn cước điện tử của người đó theo quy định của pháp luật.
- Người được thôi quốc tịch quốc tịch Việt Nam có trách nhiệm phối hợp với cơ quan Công an để làm thủ tục xóa đăng ký thường trú, nộp lại Hộ chiếu Việt Nam, thẻ Căn cước công dân, thẻ căn cước, khóa căn cước điện tử theo quy định của pháp luật có liên quan.</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 xml:space="preserve">75 ngày (thời gian thực tế giải quyết hồ sơ tại các cơ quan có thẩm quyền). </w:t>
            </w:r>
          </w:p>
        </w:tc>
        <w:tc>
          <w:p/>
          <w:p>
            <w:pPr>
              <w:spacing w:after="0" w:before="0" w:lineRule="auto" w:line="276"/>
              <w:jc w:val="left"/>
            </w:pPr>
            <w:r>
              <w:rPr>
                <w:rFonts w:ascii="Times New Roman" w:hAnsi="Times New Roman" w:cs="Times New Roman" w:eastAsia="Times New Roman"/>
                <w:b w:val="false"/>
                <w:sz w:val="26"/>
              </w:rPr>
              <w:t>Lệ phí : 2.500.000 Đồng</w:t>
            </w:r>
          </w:p>
        </w:tc>
        <w:tc>
          <w:p/>
          <w:p>
            <w:pPr>
              <w:spacing w:after="0" w:before="0" w:lineRule="auto" w:line="276"/>
              <w:jc w:val="left"/>
            </w:pPr>
            <w:r>
              <w:rPr>
                <w:rFonts w:ascii="Times New Roman" w:hAnsi="Times New Roman" w:cs="Times New Roman" w:eastAsia="Times New Roman"/>
                <w:b w:val="false"/>
                <w:sz w:val="26"/>
              </w:rPr>
              <w:t>Người xin thôi quốc tịch Việt Nam cư trú ở trong nước nộp hồ sơ trực tuyến, trực tiếp hoặc gửi qua dịch vụ bưu chính đến Sở Tư pháp, nơi người đó cư trú, không ủy quyền cho người khác nộp hồ sơ.</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 xml:space="preserve">75 ngày (thời gian thực tế giải quyết hồ sơ tại các cơ quan có thẩm quyền). </w:t>
            </w:r>
          </w:p>
        </w:tc>
        <w:tc>
          <w:p/>
          <w:p>
            <w:pPr>
              <w:spacing w:after="0" w:before="0" w:lineRule="auto" w:line="276"/>
              <w:jc w:val="left"/>
            </w:pPr>
            <w:r>
              <w:rPr>
                <w:rFonts w:ascii="Times New Roman" w:hAnsi="Times New Roman" w:cs="Times New Roman" w:eastAsia="Times New Roman"/>
                <w:b w:val="false"/>
                <w:sz w:val="26"/>
              </w:rPr>
              <w:t>Lệ phí : 2.500.000 Đồng</w:t>
            </w:r>
          </w:p>
        </w:tc>
        <w:tc>
          <w:p/>
          <w:p>
            <w:pPr>
              <w:spacing w:after="0" w:before="0" w:lineRule="auto" w:line="276"/>
              <w:jc w:val="left"/>
            </w:pPr>
            <w:r>
              <w:rPr>
                <w:rFonts w:ascii="Times New Roman" w:hAnsi="Times New Roman" w:cs="Times New Roman" w:eastAsia="Times New Roman"/>
                <w:b w:val="false"/>
                <w:sz w:val="26"/>
              </w:rPr>
              <w:t>Người xin thôi quốc tịch Việt Nam cư trú ở trong nước nộp hồ sơ trực tuyến, trực tiếp hoặc gửi qua dịch vụ bưu chính đến Sở Tư pháp, nơi người đó cư trú, không ủy quyền cho người khác nộp hồ sơ. 
		- Trường hợp người yêu cầu nộp hồ sơ trực tuyến thì thực hiện theo quy định tại Điều 6 Nghị định số 191/2025/NĐ-CP như sau:
	+ Người yêu cầu đăng nhập tài khoản vào Cổng Dịch vụ công quốc gia kết nối với Hệ thống thông tin giải quyết thủ tục hành chính cấp bộ, cấp tỉnh và nộp hồ sơ theo quy định, cung cấp thông tin theo biểu mẫu điện tử tương tác, đính kèm bản điện tử. Trường hợp thông tin, dữ liệu điện tử của người yêu cầu đã được kết nối, chia sẻ giữa các cơ sở dữ liệu thì người yêu cầu không phải khai lại thông tin hoặc đính kèm hồ sơ, giấy tờ.
	Trường hợp không có bản điện tử thì đính kèm bản chụp hoặc bản sao các giấy tờ theo quy định; nộp phí, lệ phí thông qua chức năng thanh toán trực tuyến của Cổng Dịch vụ công quốc gia, các nền tảng thanh toán khác hoặc các phương thức khác theo quy định của pháp luật.
	+ Sau khi hoàn tất việc nộp hồ sơ, người yêu cầu được cấp 01 mã số hồ sơ thủ tục hành chính để theo dõi, tra cứu tiến độ giải quyết hoặc truy cập để hoàn thiện hồ sơ khi có yêu cầu của cơ quan thụ lý.
	+ Hồ sơ điện tử xin thôi quốc tịch Việt Nam được tiếp nhận tại Cổng Dịch vụ công quốc gia và thông qua Hệ thống thông tin giải quyết thủ tục hành chính cấp bộ, cấp tỉnh chuyển đến Phần mềm quản lý, giải quyết hồ sơ quốc tịch để cơ quan có thẩm quyền giải quyết. 
	Trường hợp Bộ Tư pháp quyết định từ chối giải quyết hồ sơ theo quy định tại khoản 1 và khoản 6 Điều 14 Nghị định này thì gửi cho cơ quan tiếp nhận thông qua Phần mềm quản lý, giải quyết hồ sơ quốc tịch để thông báo cho người có yêu cầu.
	+ Người có yêu cầu có thể lựa chọn nhận kết quả theo các phương thức sau: nhận bản điện tử gửi qua thư điện tử, Kho quản lý dữ liệu điện tử của tổ chức, cá nhân đó; nhận bản điện tử gửi vào thiết bị số, thông qua phương pháp truyền số liệu phù hợp, đảm bảo an toàn, bảo mật thông tin; nhận kết quả là bản giấy thông qua dịch vụ bưu chính và nộp chi phí trả kết quả; Nhận kết quả là bản giấy tại cơ quan thụ lý hồ sơ.</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 xml:space="preserve">75 ngày (thời gian thực tế giải quyết hồ sơ tại các cơ quan có thẩm quyền). </w:t>
            </w:r>
          </w:p>
        </w:tc>
        <w:tc>
          <w:p/>
          <w:p>
            <w:pPr>
              <w:spacing w:after="0" w:before="0" w:lineRule="auto" w:line="276"/>
              <w:jc w:val="left"/>
            </w:pPr>
            <w:r>
              <w:rPr>
                <w:rFonts w:ascii="Times New Roman" w:hAnsi="Times New Roman" w:cs="Times New Roman" w:eastAsia="Times New Roman"/>
                <w:b w:val="false"/>
                <w:sz w:val="26"/>
              </w:rPr>
              <w:t>Lệ phí : 2.500.000 Đồng</w:t>
            </w:r>
          </w:p>
        </w:tc>
        <w:tc>
          <w:p/>
          <w:p>
            <w:pPr>
              <w:spacing w:after="0" w:before="0" w:lineRule="auto" w:line="276"/>
              <w:jc w:val="left"/>
            </w:pPr>
            <w:r>
              <w:rPr>
                <w:rFonts w:ascii="Times New Roman" w:hAnsi="Times New Roman" w:cs="Times New Roman" w:eastAsia="Times New Roman"/>
                <w:b w:val="false"/>
                <w:sz w:val="26"/>
              </w:rPr>
              <w:t>Người xin thôi quốc tịch Việt Nam cư trú ở trong nước nộp hồ sơ trực tuyến, trực tiếp hoặc gửi qua dịch vụ bưu chính đến Sở Tư pháp, nơi người đó cư trú, không ủy quyền cho người khác nộp hồ sơ.</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Đơn xin thôi quốc tịch Việt Nam;</w:t>
            </w:r>
          </w:p>
        </w:tc>
        <w:tc>
          <w:p/>
          <w:p>
            <w:pPr>
              <w:spacing w:after="0" w:before="0" w:lineRule="auto" w:line="276"/>
              <w:jc w:val="left"/>
            </w:pPr>
            <w:r>
              <w:rPr>
                <w:rFonts w:ascii="Times New Roman" w:hAnsi="Times New Roman" w:cs="Times New Roman" w:eastAsia="Times New Roman"/>
                <w:b w:val="false"/>
                <w:sz w:val="26"/>
              </w:rPr>
              <w:t>5.MunxinthiQTVN1.doc</w:t>
            </w:r>
          </w:p>
          <w:p>
            <w:pPr>
              <w:spacing w:after="0" w:before="0" w:lineRule="auto" w:line="276"/>
              <w:jc w:val="left"/>
            </w:pPr>
            <w:r>
              <w:rPr>
                <w:rFonts w:ascii="Times New Roman" w:hAnsi="Times New Roman" w:cs="Times New Roman" w:eastAsia="Times New Roman"/>
                <w:b w:val="false"/>
                <w:sz w:val="26"/>
              </w:rPr>
              <w:t>6.MunxinthiQTVN2.docx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Bản khai lý lịch;</w:t>
            </w:r>
          </w:p>
        </w:tc>
        <w:tc>
          <w:p/>
          <w:p>
            <w:pPr>
              <w:spacing w:after="0" w:before="0" w:lineRule="auto" w:line="276"/>
              <w:jc w:val="left"/>
            </w:pPr>
            <w:r>
              <w:rPr>
                <w:rFonts w:ascii="Times New Roman" w:hAnsi="Times New Roman" w:cs="Times New Roman" w:eastAsia="Times New Roman"/>
                <w:b w:val="false"/>
                <w:sz w:val="26"/>
              </w:rPr>
              <w:t>7.Bnkhaillch.doc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Giấy tờ chứng minh người xin thôi quốc tịch Việt Nam có quốc tịch Việt Nam là bản sao Hộ chiếu Việt Nam, thẻ Căn cước công dân, thẻ căn cước, căn cước điện tử, Giấy chứng minh nhân dân hoặc giấy tờ khác quy định tại Điều 11 Luật Quốc tịch Việt Nam và Điều 7 Nghị định số 191/2025/NĐ-CP trong trường hợp cơ quan tiếp nhận không thể khai thác được thông tin chứng minh quốc tịch Việt Nam của người xin thôi quốc tịch trong Cơ sở dữ liệu hộ tịch điện tử, Cơ sở dữ liệu quốc gia về dân cư.</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Giấy tờ xác nhận về việc người đó đang làm thủ tục nhập quốc tịch nước ngoài, trừ trường hợp pháp luật nước đó không quy định về việc cấp giấy này (Giấy tờ xác nhận việc người xin thôi quốc tịch Việt Nam đang làm thủ tục nhập quốc tịch nước ngoài quy định tại điểm đ khoản 1 Điều 28 Luật Quốc tịch Việt Nam là giấy tờ do cơ quan có thẩm quyền của nước ngoài xác nhận hoặc bảo đảm cho người đó được nhập quốc tịch nước ngoài; trường hợp người xin thôi quốc tịch Việt Nam đã có quốc tịch nước ngoài thì nộp bản sao Hộ chiếu hoặc giấy tờ về nhân thân có dán ảnh do cơ quan có thẩm quyền của nước ngoài cấp để chứng minh người đó đang có quốc tịch nước ngoài).</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Giấy xác nhận không nợ thuế do cơ quan quản lý thuế nơi người xin thôi quốc tịch Việt Nam cư trú cấp.</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Đối với người trước đây là cán bộ, công chức, viên chức hoặc phục vụ trong lực lượng vũ trang nhân dân Việt Nam đã nghỉ hưu, thôi việc, bị miễn nhiệm, bãi nhiệm, cách chức hoặc giải ngũ, phục viên chưa quá 5 năm thì còn phải nộp giấy xác nhận của Thủ trưởng cơ quan, tổ chức, đơn vị đã ra quyết định cho nghỉ hưu, cho thôi việc, miễn nhiệm, bãi nhiệm, cách chức hoặc giải ngũ, phục viên xác nhận việc thôi quốc tịch Việt Nam của người đó không phương hại đến lợi ích quốc gia của Việt Nam.</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Bản sao Giấy khai sinh của con chưa thành niên cùng thôi quốc tịch Việt Nam theo cha mẹ hoặc giấy tờ hợp lệ khác chứng minh quan hệ cha con, mẹ con, trong trường hợp cơ quan tiếp nhận không thể khai thác được thông tin chứng minh quan hệ cha, mẹ, con trong Cơ sở dữ liệu hộ tịch điện tử, Cơ sở dữ liệu quốc gia về dân cư. Trường hợp chỉ người cha hoặc người mẹ thôi quốc tịch Việt Nam mà con chưa thành niên sinh sống cùng người đó thôi quốc tịch Việt Nam theo cha hoặc mẹ thì phải nộp văn bản thỏa thuận có đủ chữ ký của cha mẹ về việc xin thôi quốc tịch Việt Nam cho con. Văn bản thỏa thuận không phải chứng thực chữ ký; người đứng đơn xin thôi quốc tịch Việt Nam cho con phải chịu trách nhiệm về tính chính xác chữ ký của người kia.</w:t>
            </w:r>
          </w:p>
        </w:tc>
        <w:tc>
          <w:p/>
          <w:p>
            <w:pPr>
              <w:spacing w:after="0" w:before="0" w:lineRule="auto" w:line="276"/>
              <w:jc w:val="left"/>
            </w:pPr>
            <w:r>
              <w:rPr>
                <w:rFonts w:ascii="Times New Roman" w:hAnsi="Times New Roman" w:cs="Times New Roman" w:eastAsia="Times New Roman"/>
                <w:b w:val="false"/>
                <w:sz w:val="26"/>
              </w:rPr>
              <w:t>14.MuBnthothun.doc</w:t>
            </w:r>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Trường hợp cha, mẹ đã chết, bị mất năng lực hành vi dân sự hoặc hạn chế năng lực hành vi dân sự thì văn bản thỏa thuận được thay thế bằng giấy tờ chứng minh cha, mẹ đã chết, bị mất năng lực hành vi dân sự hoặc hạn chế năng lực hành vi dân sự.</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Giấy tờ có trong hồ sơ xin thôi quốc tịch Việt Nam do cơ quan có thẩm quyền của nước ngoài cấp phải được hợp pháp hóa lãnh sự, trừ trường hợp được miễn hợp pháp hóa lãnh sự theo quy định của pháp luật Việt Nam hoặc điều ước quốc tế mà Việt Nam là thành viên.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Giấy tờ trong hồ sơ xin thôi quốc tịch Việt Nam bằng tiếng nước ngoài phải được dịch sang tiếng Việt; bản dịch phải được chứng thực chữ ký người dịch theo quy định của pháp luật Việt Nam.</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Trường hợp pháp luật quy định giấy tờ phải nộp là bản sao thì người xin trở lại quốc tịch Việt Nam có thể nộp giấy tờ là bản chụp từ bản chính; bản sao được chứng thực từ bản chính; bản sao được cấp từ sổ gốc; bản điện tử các giấy tờ này; giấy tờ được tích hợp, hiển thị trên Ứng dụng định danh điện tử (VNeID). Nếu nộp bản chụp từ bản chính thì phải có bản chính để đối chiếu; người thụ lý hồ sơ kiểm tra, đối chiếu bản sao với bản chính và ký xác nhận đã đối chiếu.</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Trường hợp hồ sơ được gửi qua hệ thống bưu chính thì bản sao giấy tờ phải được chứng thực từ bản chính hoặc được cấp từ sổ gốc; Đơn, Tờ khai, Bản khai lý lịch phải được chứng thực chữ ký theo quy định của pháp luật.</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Bộ Tư pháp, Sở Tư pháp</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Chủ tịch nước</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Công an Tỉnh</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cho thôi quốc tịch Việt Nam của Chủ tịch nước</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24/2008/QH12</w:t>
            </w:r>
          </w:p>
        </w:tc>
        <w:tc>
          <w:p/>
          <w:p>
            <w:pPr>
              <w:spacing w:after="0" w:before="0" w:lineRule="auto" w:line="276"/>
              <w:jc w:val="left"/>
            </w:pPr>
            <w:r>
              <w:rPr>
                <w:rFonts w:ascii="Times New Roman" w:hAnsi="Times New Roman" w:cs="Times New Roman" w:eastAsia="Times New Roman"/>
                <w:b w:val="false"/>
                <w:sz w:val="26"/>
              </w:rPr>
              <w:t>	 Luật 24/2008/QH12</w:t>
            </w:r>
          </w:p>
        </w:tc>
        <w:tc>
          <w:p/>
          <w:p>
            <w:pPr>
              <w:spacing w:after="0" w:before="0" w:lineRule="auto" w:line="276"/>
              <w:jc w:val="left"/>
            </w:pPr>
            <w:r>
              <w:rPr>
                <w:rFonts w:ascii="Times New Roman" w:hAnsi="Times New Roman" w:cs="Times New Roman" w:eastAsia="Times New Roman"/>
                <w:b w:val="false"/>
                <w:sz w:val="26"/>
              </w:rPr>
              <w:t>13-11-2008</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 xml:space="preserve">281/2016/TT-BTC </w:t>
            </w:r>
          </w:p>
        </w:tc>
        <w:tc>
          <w:p/>
          <w:p>
            <w:pPr>
              <w:spacing w:after="0" w:before="0" w:lineRule="auto" w:line="276"/>
              <w:jc w:val="left"/>
            </w:pPr>
            <w:r>
              <w:rPr>
                <w:rFonts w:ascii="Times New Roman" w:hAnsi="Times New Roman" w:cs="Times New Roman" w:eastAsia="Times New Roman"/>
                <w:b w:val="false"/>
                <w:sz w:val="26"/>
              </w:rPr>
              <w:t>Thông tư 281/2016/TT-BTC</w:t>
            </w:r>
          </w:p>
        </w:tc>
        <w:tc>
          <w:p/>
          <w:p>
            <w:pPr>
              <w:spacing w:after="0" w:before="0" w:lineRule="auto" w:line="276"/>
              <w:jc w:val="left"/>
            </w:pPr>
            <w:r>
              <w:rPr>
                <w:rFonts w:ascii="Times New Roman" w:hAnsi="Times New Roman" w:cs="Times New Roman" w:eastAsia="Times New Roman"/>
                <w:b w:val="false"/>
                <w:sz w:val="26"/>
              </w:rPr>
              <w:t>14-11-2016</w:t>
            </w:r>
          </w:p>
        </w:tc>
        <w:tc>
          <w:p/>
          <w:p>
            <w:pPr>
              <w:spacing w:after="0" w:before="0" w:lineRule="auto" w:line="276"/>
              <w:jc w:val="left"/>
            </w:pPr>
            <w:r>
              <w:rPr>
                <w:rFonts w:ascii="Times New Roman" w:hAnsi="Times New Roman" w:cs="Times New Roman" w:eastAsia="Times New Roman"/>
                <w:b w:val="false"/>
                <w:sz w:val="26"/>
              </w:rPr>
              <w:t>Bộ Tài chính</w:t>
            </w:r>
          </w:p>
        </w:tc>
      </w:tr>
      <w:tr>
        <w:tc>
          <w:p/>
          <w:p>
            <w:pPr>
              <w:spacing w:after="0" w:before="0" w:lineRule="auto" w:line="276"/>
              <w:jc w:val="left"/>
            </w:pPr>
            <w:r>
              <w:rPr>
                <w:rFonts w:ascii="Times New Roman" w:hAnsi="Times New Roman" w:cs="Times New Roman" w:eastAsia="Times New Roman"/>
                <w:b w:val="false"/>
                <w:sz w:val="26"/>
              </w:rPr>
              <w:t>79/2025/QH15</w:t>
            </w:r>
          </w:p>
        </w:tc>
        <w:tc>
          <w:p/>
          <w:p>
            <w:pPr>
              <w:spacing w:after="0" w:before="0" w:lineRule="auto" w:line="276"/>
              <w:jc w:val="left"/>
            </w:pPr>
            <w:r>
              <w:rPr>
                <w:rFonts w:ascii="Times New Roman" w:hAnsi="Times New Roman" w:cs="Times New Roman" w:eastAsia="Times New Roman"/>
                <w:b w:val="false"/>
                <w:sz w:val="26"/>
              </w:rPr>
              <w:t>Luật sửa đổi, bổ sung một số điều của Luật Quốc tịch Việt Nam</w:t>
            </w:r>
          </w:p>
        </w:tc>
        <w:tc>
          <w:p/>
          <w:p>
            <w:pPr>
              <w:spacing w:after="0" w:before="0" w:lineRule="auto" w:line="276"/>
              <w:jc w:val="left"/>
            </w:pPr>
            <w:r>
              <w:rPr>
                <w:rFonts w:ascii="Times New Roman" w:hAnsi="Times New Roman" w:cs="Times New Roman" w:eastAsia="Times New Roman"/>
                <w:b w:val="false"/>
                <w:sz w:val="26"/>
              </w:rPr>
              <w:t>24-06-2025</w:t>
            </w:r>
          </w:p>
        </w:tc>
        <w:tc>
          <w:p/>
        </w:tc>
      </w:tr>
      <w:tr>
        <w:tc>
          <w:p/>
          <w:p>
            <w:pPr>
              <w:spacing w:after="0" w:before="0" w:lineRule="auto" w:line="276"/>
              <w:jc w:val="left"/>
            </w:pPr>
            <w:r>
              <w:rPr>
                <w:rFonts w:ascii="Times New Roman" w:hAnsi="Times New Roman" w:cs="Times New Roman" w:eastAsia="Times New Roman"/>
                <w:b w:val="false"/>
                <w:sz w:val="26"/>
              </w:rPr>
              <w:t>191/2025/NĐ-CP</w:t>
            </w:r>
          </w:p>
        </w:tc>
        <w:tc>
          <w:p/>
          <w:p>
            <w:pPr>
              <w:spacing w:after="0" w:before="0" w:lineRule="auto" w:line="276"/>
              <w:jc w:val="left"/>
            </w:pPr>
            <w:r>
              <w:rPr>
                <w:rFonts w:ascii="Times New Roman" w:hAnsi="Times New Roman" w:cs="Times New Roman" w:eastAsia="Times New Roman"/>
                <w:b w:val="false"/>
                <w:sz w:val="26"/>
              </w:rPr>
              <w:t>Nghị định quy định chi tiết một số điều và biện pháp để tổ chức, hướng dẫn thi hành Luật Quốc tịch Việt Nam</w:t>
            </w:r>
          </w:p>
        </w:tc>
        <w:tc>
          <w:p/>
          <w:p>
            <w:pPr>
              <w:spacing w:after="0" w:before="0" w:lineRule="auto" w:line="276"/>
              <w:jc w:val="left"/>
            </w:pPr>
            <w:r>
              <w:rPr>
                <w:rFonts w:ascii="Times New Roman" w:hAnsi="Times New Roman" w:cs="Times New Roman" w:eastAsia="Times New Roman"/>
                <w:b w:val="false"/>
                <w:sz w:val="26"/>
              </w:rPr>
              <w:t>01-07-2025</w:t>
            </w:r>
          </w:p>
        </w:tc>
        <w:tc>
          <w:p/>
        </w:tc>
      </w:tr>
      <w:tr>
        <w:tc>
          <w:p/>
          <w:p>
            <w:pPr>
              <w:spacing w:after="0" w:before="0" w:lineRule="auto" w:line="276"/>
              <w:jc w:val="left"/>
            </w:pPr>
            <w:r>
              <w:rPr>
                <w:rFonts w:ascii="Times New Roman" w:hAnsi="Times New Roman" w:cs="Times New Roman" w:eastAsia="Times New Roman"/>
                <w:b w:val="false"/>
                <w:sz w:val="26"/>
              </w:rPr>
              <w:t>12/2025/TT-BTP</w:t>
            </w:r>
          </w:p>
        </w:tc>
        <w:tc>
          <w:p/>
          <w:p>
            <w:pPr>
              <w:spacing w:after="0" w:before="0" w:lineRule="auto" w:line="276"/>
              <w:jc w:val="left"/>
            </w:pPr>
            <w:r>
              <w:rPr>
                <w:rFonts w:ascii="Times New Roman" w:hAnsi="Times New Roman" w:cs="Times New Roman" w:eastAsia="Times New Roman"/>
                <w:b w:val="false"/>
                <w:sz w:val="26"/>
              </w:rPr>
              <w:t>Thông tư ban hành, hướng dẫn sử dụng, quản lý mẫu sổ quốc tịch và mẫu giấy tờ về quốc tịch</w:t>
            </w:r>
          </w:p>
        </w:tc>
        <w:tc>
          <w:p/>
          <w:p>
            <w:pPr>
              <w:spacing w:after="0" w:before="0" w:lineRule="auto" w:line="276"/>
              <w:jc w:val="left"/>
            </w:pPr>
            <w:r>
              <w:rPr>
                <w:rFonts w:ascii="Times New Roman" w:hAnsi="Times New Roman" w:cs="Times New Roman" w:eastAsia="Times New Roman"/>
                <w:b w:val="false"/>
                <w:sz w:val="26"/>
              </w:rPr>
              <w:t>01-07-2025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Người xin thôi quốc tịch Việt Nam chưa được thôi quốc tịch Việt Nam, nếu thuộc một trong những trường hợp sau đây:
	+ Đang nợ thuế đối với Nhà nước hoặc đang có nghĩa vụ tài sản đối với cơ quan, tổ chức hoặc cá nhân ở Việt Nam;
	+ Đang bị truy cứu trách nhiệm hình sự;
	+ Đang chấp hành bản án, quyết định của Toà án Việt Nam;
	+ Đang bị tạm giam để chờ thi hành án; 
	+ Đang chấp hành quyết định áp dụng biện pháp xử lý hành chính đưa vào cơ sở giáo dục, cơ sở chữa bệnh, trường giáo dưỡng.
	- Người xin thôi quốc tịch Việt Nam không được thôi quốc tịch Việt Nam, nếu việc đó làm phương hại đến lợi ích quốc gia của Việt Nam.
	- Cán bộ, công chức và những người đang phục vụ trong lực lượng vũ trang nhân dân Việt Nam không được thôi quốc tịch Việt Nam. 
	- Trường hợp được miễn xác minh về nhân thân thì thời hạn của giấy tờ bảo đảm cho nhập quốc tịch nước ngoài phải còn ít nhất là 120 ngày, kể từ ngày thụ lý hồ sơ; trường hợp phải xác minh về nhân thân thì thời hạn phải còn ít nhất là 150 ngày, kể từ ngày thụ lý hồ sơ.</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https://thutuc.dichvucong.gov.vn/p/home/dvc-tthc-thu-tuc-hanh-chinh-chi-tiet.html?ma_thu_tuc=7200</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2025-11-27T15:51:53Z</dcterms:created>
  <dc:creator>Apache POI</dc:creator>
</cp:coreProperties>
</file>