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3904/QĐ-BYT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mỹ phẩm trong trường hợp hết hiệu lực tại Khoản 2 Điều 21 Thông tư số 09/2015/TT-BYT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xác nhận nội dung quảng cáo nộp hồ sơ tại Sở Y tế.</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văn bản đề nghị theo dấu tiếp nhận công văn đến của cơ quan tiếp nhận hồ sơ, cơ quan có thẩm quyền xác nhận nội dung quảng cáo xem xét cấp lại cho cơ sở. Trường hợp từ chối cấp lại, cơ quan có thẩm quyền phải có văn bản thông báo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05 ngày làm việc kể từ ngày nhận được văn bản đề nghị theo dấu tiếp nhận công văn đến của cơ quan tiếp nhận hồ sơ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05 ngày làm việc kể từ ngày nhận được văn bản đề nghị theo dấu tiếp nhận công văn đến của cơ quan tiếp nhận hồ sơ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công bố sản phẩm mỹ phẩm đã được cơ quan nhà nước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nội dung quảng cáo đã hết hiệu lực kèm theo mẫu hoặc kịch bản quảng cáo đã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34/2005/QH11</w:t>
            </w:r>
          </w:p>
        </w:tc>
        <w:tc>
          <w:p/>
          <w:p>
            <w:pPr>
              <w:spacing w:after="0" w:before="0" w:lineRule="auto" w:line="276"/>
              <w:jc w:val="left"/>
            </w:pPr>
            <w:r>
              <w:rPr>
                <w:rFonts w:ascii="Times New Roman" w:hAnsi="Times New Roman" w:cs="Times New Roman" w:eastAsia="Times New Roman"/>
                <w:b w:val="false"/>
                <w:sz w:val="26"/>
              </w:rPr>
              <w:t>Luật 34/2005/QH11-Dược</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100/2014/NĐ-CP</w:t>
            </w:r>
          </w:p>
        </w:tc>
        <w:tc>
          <w:p/>
          <w:p>
            <w:pPr>
              <w:spacing w:after="0" w:before="0" w:lineRule="auto" w:line="276"/>
              <w:jc w:val="left"/>
            </w:pPr>
            <w:r>
              <w:rPr>
                <w:rFonts w:ascii="Times New Roman" w:hAnsi="Times New Roman" w:cs="Times New Roman" w:eastAsia="Times New Roman"/>
                <w:b w:val="false"/>
                <w:sz w:val="26"/>
              </w:rPr>
              <w:t>Nghị định 100/2014/NĐ-CP</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2025-12-02T12:09:06Z</dcterms:created>
  <dc:creator>Apache POI</dc:creator>
</cp:coreProperties>
</file>