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7A10" w:rsidRDefault="005F4E35">
      <w:pPr>
        <w:spacing w:after="300" w:line="276" w:lineRule="auto"/>
        <w:jc w:val="center"/>
      </w:pPr>
      <w:r>
        <w:rPr>
          <w:rFonts w:ascii="Times New Roman" w:eastAsia="Times New Roman" w:hAnsi="Times New Roman" w:cs="Times New Roman"/>
          <w:b/>
          <w:sz w:val="26"/>
        </w:rPr>
        <w:t>Chi tiết thủ tục hành chính</w:t>
      </w:r>
    </w:p>
    <w:p w:rsidR="00B77A10" w:rsidRDefault="005F4E3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1.001114</w:t>
      </w:r>
    </w:p>
    <w:p w:rsidR="00B77A10" w:rsidRDefault="005F4E3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3614/QĐ-BYT</w:t>
      </w:r>
    </w:p>
    <w:p w:rsidR="00B77A10" w:rsidRDefault="005F4E3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xác nhận nội dung quảng cáo hóa chất, chế phẩm diệt côn trùng, diệt khuẩn dùng trong lĩnh vực gia dụng và y tế khi có thay đổi về tên, địa chỉ của tổ chức, cá nhân chịu trách nhiệm và không thay đổi nội dung quảng cáo</w:t>
      </w:r>
    </w:p>
    <w:p w:rsidR="00B77A10" w:rsidRDefault="005F4E3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B77A10" w:rsidRDefault="005F4E3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B77A10" w:rsidRDefault="005F4E3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rsidR="00B77A10" w:rsidRDefault="005F4E35">
      <w:pPr>
        <w:spacing w:after="0" w:line="276" w:lineRule="auto"/>
        <w:jc w:val="both"/>
      </w:pPr>
      <w:r>
        <w:rPr>
          <w:rFonts w:ascii="Times New Roman" w:eastAsia="Times New Roman" w:hAnsi="Times New Roman" w:cs="Times New Roman"/>
          <w:b/>
          <w:sz w:val="26"/>
        </w:rPr>
        <w:t xml:space="preserve">Trình tự thực hiện: </w:t>
      </w:r>
    </w:p>
    <w:p w:rsidR="00B77A10" w:rsidRDefault="00B77A10">
      <w:pPr>
        <w:shd w:val="clear" w:color="auto" w:fill="F2F6F9"/>
        <w:spacing w:before="120" w:after="0" w:line="276" w:lineRule="auto"/>
        <w:jc w:val="both"/>
      </w:pPr>
    </w:p>
    <w:p w:rsidR="00B77A10" w:rsidRDefault="005F4E35">
      <w:pPr>
        <w:spacing w:after="0" w:line="276" w:lineRule="auto"/>
        <w:jc w:val="both"/>
      </w:pPr>
      <w:r>
        <w:rPr>
          <w:rFonts w:ascii="Times New Roman" w:eastAsia="Times New Roman" w:hAnsi="Times New Roman" w:cs="Times New Roman"/>
          <w:sz w:val="26"/>
        </w:rPr>
        <w:t xml:space="preserve">Bước 1. Đơn vị đề nghị cấp lại giấy xác nhận nội dung quảng cáo nộp hồ sơ đến Sở Y tế nơi đơn vị đặt trụ sở chính. Bước 2. Trường hợp hồ sơ chưa hợp lệ, trong thời gian 05 ngày làm việc kể từ ngày nhận hồ sơ theo dấu tiếp nhận công văn đến của Sở Y tế, Sở Y tế có văn bản đề nghị đơn vị sửa đổi, bổ sung. Thời gian để đơn vị đề nghị xác nhận nội dung quảng cáo sửa đổi, bổ sung hoàn chỉnh hồ sơ theo yêu cầu tối đa là 90 ngày kể từ ngày nhận được văn bản thông báo sửa đổi, bổ sung của Sở Y tế. Quá thời hạn này </w:t>
      </w:r>
      <w:r>
        <w:rPr>
          <w:rFonts w:ascii="Times New Roman" w:eastAsia="Times New Roman" w:hAnsi="Times New Roman" w:cs="Times New Roman"/>
          <w:sz w:val="26"/>
        </w:rPr>
        <w:t>thì hồ sơ đề nghị xác nhận nội dung quảng cáo hết giá trị.   Bước 3. Trong thời gian 10 ngày làm việc kể từ ngày nhận đủ hồ sơ hợp lệ theo dấu tiếp nhận công văn đến của Sở Y tế, Sở Y tế cấp giấy xác nhận nội dung quảng cáo. Trường hợp không cấp giấy xác nhận nội dung quảng cáo, Sở Y tế phải trả lời bằng văn bản và nêu rõ lý do không cấp.</w:t>
      </w:r>
    </w:p>
    <w:p w:rsidR="00B77A10" w:rsidRDefault="005F4E3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43"/>
        <w:gridCol w:w="1185"/>
        <w:gridCol w:w="1677"/>
        <w:gridCol w:w="5406"/>
      </w:tblGrid>
      <w:tr w:rsidR="00B77A10">
        <w:tblPrEx>
          <w:tblCellMar>
            <w:top w:w="0" w:type="dxa"/>
            <w:bottom w:w="0" w:type="dxa"/>
          </w:tblCellMar>
        </w:tblPrEx>
        <w:tc>
          <w:tcPr>
            <w:tcW w:w="1500" w:type="dxa"/>
          </w:tcPr>
          <w:p w:rsidR="00B77A10" w:rsidRDefault="00B77A10"/>
          <w:p w:rsidR="00B77A10" w:rsidRDefault="005F4E35">
            <w:pPr>
              <w:spacing w:after="0" w:line="276" w:lineRule="auto"/>
              <w:jc w:val="center"/>
            </w:pPr>
            <w:r>
              <w:rPr>
                <w:rFonts w:ascii="Times New Roman" w:eastAsia="Times New Roman" w:hAnsi="Times New Roman" w:cs="Times New Roman"/>
                <w:b/>
                <w:sz w:val="26"/>
              </w:rPr>
              <w:t>Hình thức nộp</w:t>
            </w:r>
          </w:p>
        </w:tc>
        <w:tc>
          <w:tcPr>
            <w:tcW w:w="2000" w:type="dxa"/>
          </w:tcPr>
          <w:p w:rsidR="00B77A10" w:rsidRDefault="00B77A10"/>
          <w:p w:rsidR="00B77A10" w:rsidRDefault="005F4E35">
            <w:pPr>
              <w:spacing w:after="0" w:line="276" w:lineRule="auto"/>
              <w:jc w:val="center"/>
            </w:pPr>
            <w:r>
              <w:rPr>
                <w:rFonts w:ascii="Times New Roman" w:eastAsia="Times New Roman" w:hAnsi="Times New Roman" w:cs="Times New Roman"/>
                <w:b/>
                <w:sz w:val="26"/>
              </w:rPr>
              <w:t>Thời hạn giải quyết</w:t>
            </w:r>
          </w:p>
        </w:tc>
        <w:tc>
          <w:tcPr>
            <w:tcW w:w="3500" w:type="dxa"/>
          </w:tcPr>
          <w:p w:rsidR="00B77A10" w:rsidRDefault="00B77A10"/>
          <w:p w:rsidR="00B77A10" w:rsidRDefault="005F4E35">
            <w:pPr>
              <w:spacing w:after="0" w:line="276" w:lineRule="auto"/>
              <w:jc w:val="center"/>
            </w:pPr>
            <w:r>
              <w:rPr>
                <w:rFonts w:ascii="Times New Roman" w:eastAsia="Times New Roman" w:hAnsi="Times New Roman" w:cs="Times New Roman"/>
                <w:b/>
                <w:sz w:val="26"/>
              </w:rPr>
              <w:t>Phí, lệ phí</w:t>
            </w:r>
          </w:p>
        </w:tc>
        <w:tc>
          <w:tcPr>
            <w:tcW w:w="3000" w:type="dxa"/>
          </w:tcPr>
          <w:p w:rsidR="00B77A10" w:rsidRDefault="00B77A10"/>
          <w:p w:rsidR="00B77A10" w:rsidRDefault="005F4E35">
            <w:pPr>
              <w:spacing w:after="0" w:line="276" w:lineRule="auto"/>
              <w:jc w:val="center"/>
            </w:pPr>
            <w:r>
              <w:rPr>
                <w:rFonts w:ascii="Times New Roman" w:eastAsia="Times New Roman" w:hAnsi="Times New Roman" w:cs="Times New Roman"/>
                <w:b/>
                <w:sz w:val="26"/>
              </w:rPr>
              <w:t>Mô tả</w:t>
            </w:r>
          </w:p>
        </w:tc>
      </w:tr>
      <w:tr w:rsidR="00B77A10">
        <w:tblPrEx>
          <w:tblCellMar>
            <w:top w:w="0" w:type="dxa"/>
            <w:bottom w:w="0" w:type="dxa"/>
          </w:tblCellMar>
        </w:tblPrEx>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Trực tiếp</w:t>
            </w:r>
          </w:p>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10 Ngày làm việc</w:t>
            </w:r>
          </w:p>
        </w:tc>
        <w:tc>
          <w:tcPr>
            <w:tcW w:w="0" w:type="auto"/>
          </w:tcPr>
          <w:p w:rsidR="00B77A10" w:rsidRDefault="00B77A10"/>
          <w:p w:rsidR="00B77A10" w:rsidRDefault="00B77A10">
            <w:pPr>
              <w:spacing w:after="0" w:line="276" w:lineRule="auto"/>
            </w:pPr>
          </w:p>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10 ngày làm việc kể từ ngày nhận được hồ sơ đầy đủ, hợp lệ theo dấu tiếp nhận công văn đến của cơ quan tiếp nhận hồ sơ</w:t>
            </w:r>
          </w:p>
        </w:tc>
      </w:tr>
      <w:tr w:rsidR="00B77A10">
        <w:tblPrEx>
          <w:tblCellMar>
            <w:top w:w="0" w:type="dxa"/>
            <w:bottom w:w="0" w:type="dxa"/>
          </w:tblCellMar>
        </w:tblPrEx>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Trực tuyến</w:t>
            </w:r>
          </w:p>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10 Ngày làm việc</w:t>
            </w:r>
          </w:p>
        </w:tc>
        <w:tc>
          <w:tcPr>
            <w:tcW w:w="0" w:type="auto"/>
          </w:tcPr>
          <w:p w:rsidR="00B77A10" w:rsidRDefault="00B77A10"/>
          <w:p w:rsidR="00B77A10" w:rsidRDefault="00B77A10">
            <w:pPr>
              <w:spacing w:after="0" w:line="276" w:lineRule="auto"/>
            </w:pPr>
          </w:p>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10 ngày làm việc kể từ ngày nhận được hồ sơ đầy đủ, hợp lệ theo dấu tiếp nhận công văn đến của cơ quan tiếp nhận hồ sơ</w:t>
            </w:r>
          </w:p>
        </w:tc>
      </w:tr>
      <w:tr w:rsidR="00B77A10">
        <w:tblPrEx>
          <w:tblCellMar>
            <w:top w:w="0" w:type="dxa"/>
            <w:bottom w:w="0" w:type="dxa"/>
          </w:tblCellMar>
        </w:tblPrEx>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 xml:space="preserve">Dịch vụ </w:t>
            </w:r>
            <w:r>
              <w:rPr>
                <w:rFonts w:ascii="Times New Roman" w:eastAsia="Times New Roman" w:hAnsi="Times New Roman" w:cs="Times New Roman"/>
                <w:sz w:val="26"/>
              </w:rPr>
              <w:lastRenderedPageBreak/>
              <w:t>bưu chính</w:t>
            </w:r>
          </w:p>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 xml:space="preserve">10 Ngày </w:t>
            </w:r>
            <w:r>
              <w:rPr>
                <w:rFonts w:ascii="Times New Roman" w:eastAsia="Times New Roman" w:hAnsi="Times New Roman" w:cs="Times New Roman"/>
                <w:sz w:val="26"/>
              </w:rPr>
              <w:lastRenderedPageBreak/>
              <w:t>làm việc</w:t>
            </w:r>
          </w:p>
        </w:tc>
        <w:tc>
          <w:tcPr>
            <w:tcW w:w="0" w:type="auto"/>
          </w:tcPr>
          <w:p w:rsidR="00B77A10" w:rsidRDefault="00B77A10"/>
          <w:p w:rsidR="00B77A10" w:rsidRDefault="00B77A10">
            <w:pPr>
              <w:spacing w:after="0" w:line="276" w:lineRule="auto"/>
            </w:pPr>
          </w:p>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 xml:space="preserve">10 ngày làm việc kể từ ngày nhận được hồ sơ đầy </w:t>
            </w:r>
            <w:r>
              <w:rPr>
                <w:rFonts w:ascii="Times New Roman" w:eastAsia="Times New Roman" w:hAnsi="Times New Roman" w:cs="Times New Roman"/>
                <w:sz w:val="26"/>
              </w:rPr>
              <w:lastRenderedPageBreak/>
              <w:t>đủ, hợp lệ theo dấu tiếp nhận công văn đến của cơ quan tiếp nhận hồ sơ</w:t>
            </w:r>
          </w:p>
        </w:tc>
      </w:tr>
    </w:tbl>
    <w:p w:rsidR="00B77A10" w:rsidRDefault="005F4E35">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B77A10" w:rsidRDefault="005F4E3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315"/>
        <w:gridCol w:w="3063"/>
        <w:gridCol w:w="1033"/>
      </w:tblGrid>
      <w:tr w:rsidR="00B77A10">
        <w:tblPrEx>
          <w:tblCellMar>
            <w:top w:w="0" w:type="dxa"/>
            <w:bottom w:w="0" w:type="dxa"/>
          </w:tblCellMar>
        </w:tblPrEx>
        <w:tc>
          <w:tcPr>
            <w:tcW w:w="6000" w:type="dxa"/>
          </w:tcPr>
          <w:p w:rsidR="00B77A10" w:rsidRDefault="00B77A10"/>
          <w:p w:rsidR="00B77A10" w:rsidRDefault="005F4E35">
            <w:pPr>
              <w:spacing w:after="0" w:line="276" w:lineRule="auto"/>
              <w:jc w:val="center"/>
            </w:pPr>
            <w:r>
              <w:rPr>
                <w:rFonts w:ascii="Times New Roman" w:eastAsia="Times New Roman" w:hAnsi="Times New Roman" w:cs="Times New Roman"/>
                <w:b/>
                <w:sz w:val="26"/>
              </w:rPr>
              <w:t>Tên giấy tờ</w:t>
            </w:r>
          </w:p>
        </w:tc>
        <w:tc>
          <w:tcPr>
            <w:tcW w:w="2000" w:type="dxa"/>
          </w:tcPr>
          <w:p w:rsidR="00B77A10" w:rsidRDefault="00B77A10"/>
          <w:p w:rsidR="00B77A10" w:rsidRDefault="005F4E35">
            <w:pPr>
              <w:spacing w:after="0" w:line="276" w:lineRule="auto"/>
              <w:jc w:val="center"/>
            </w:pPr>
            <w:r>
              <w:rPr>
                <w:rFonts w:ascii="Times New Roman" w:eastAsia="Times New Roman" w:hAnsi="Times New Roman" w:cs="Times New Roman"/>
                <w:b/>
                <w:sz w:val="26"/>
              </w:rPr>
              <w:t>Mẫu đơn, tờ khai</w:t>
            </w:r>
          </w:p>
        </w:tc>
        <w:tc>
          <w:tcPr>
            <w:tcW w:w="2000" w:type="dxa"/>
          </w:tcPr>
          <w:p w:rsidR="00B77A10" w:rsidRDefault="00B77A10"/>
          <w:p w:rsidR="00B77A10" w:rsidRDefault="005F4E35">
            <w:pPr>
              <w:spacing w:after="0" w:line="276" w:lineRule="auto"/>
              <w:jc w:val="center"/>
            </w:pPr>
            <w:r>
              <w:rPr>
                <w:rFonts w:ascii="Times New Roman" w:eastAsia="Times New Roman" w:hAnsi="Times New Roman" w:cs="Times New Roman"/>
                <w:b/>
                <w:sz w:val="26"/>
              </w:rPr>
              <w:t>Số lượng</w:t>
            </w:r>
          </w:p>
        </w:tc>
      </w:tr>
      <w:tr w:rsidR="00B77A10">
        <w:tblPrEx>
          <w:tblCellMar>
            <w:top w:w="0" w:type="dxa"/>
            <w:bottom w:w="0" w:type="dxa"/>
          </w:tblCellMar>
        </w:tblPrEx>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Văn bản đề nghị cấp lại giấy xác nội dung quảng cáo theo quy định tại Phụ lục 04 ban hành kèm theo Thông tư 09/2015/TT-BYT.</w:t>
            </w:r>
          </w:p>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TT09_2015_TTBYT_Phu luc 04.doc</w:t>
            </w:r>
          </w:p>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77A10">
        <w:tblPrEx>
          <w:tblCellMar>
            <w:top w:w="0" w:type="dxa"/>
            <w:bottom w:w="0" w:type="dxa"/>
          </w:tblCellMar>
        </w:tblPrEx>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Văn bản của cơ quan có thẩm quyền về việc thay đổi về tên, địa chỉ của tổ chức, cá nhân chịu trách nhiệm đưa sản phẩm, hàng hóa, dịch vụ ra thị trường.</w:t>
            </w:r>
          </w:p>
        </w:tc>
        <w:tc>
          <w:tcPr>
            <w:tcW w:w="0" w:type="auto"/>
          </w:tcPr>
          <w:p w:rsidR="00B77A10" w:rsidRDefault="00B77A10"/>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77A10">
        <w:tblPrEx>
          <w:tblCellMar>
            <w:top w:w="0" w:type="dxa"/>
            <w:bottom w:w="0" w:type="dxa"/>
          </w:tblCellMar>
        </w:tblPrEx>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Giấy xác nhận nội dung quảng cáo đã được cấp kèm theo mẫu hoặc kịch bản quảng cáo đã được duyệt.</w:t>
            </w:r>
          </w:p>
        </w:tc>
        <w:tc>
          <w:tcPr>
            <w:tcW w:w="0" w:type="auto"/>
          </w:tcPr>
          <w:p w:rsidR="00B77A10" w:rsidRDefault="00B77A10"/>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B77A10" w:rsidRDefault="005F4E3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rsidR="00B77A10" w:rsidRDefault="005F4E3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B77A10" w:rsidRDefault="005F4E3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B77A10" w:rsidRDefault="005F4E3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B77A10" w:rsidRDefault="005F4E3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B77A10" w:rsidRDefault="005F4E3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B77A10" w:rsidRDefault="005F4E3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xác nhận nội dung quảng cáo</w:t>
      </w:r>
    </w:p>
    <w:p w:rsidR="00B77A10" w:rsidRDefault="005F4E35">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54"/>
        <w:gridCol w:w="5928"/>
        <w:gridCol w:w="758"/>
        <w:gridCol w:w="1071"/>
      </w:tblGrid>
      <w:tr w:rsidR="00B77A10">
        <w:tblPrEx>
          <w:tblCellMar>
            <w:top w:w="0" w:type="dxa"/>
            <w:bottom w:w="0" w:type="dxa"/>
          </w:tblCellMar>
        </w:tblPrEx>
        <w:tc>
          <w:tcPr>
            <w:tcW w:w="2000" w:type="dxa"/>
          </w:tcPr>
          <w:p w:rsidR="00B77A10" w:rsidRDefault="00B77A10"/>
          <w:p w:rsidR="00B77A10" w:rsidRDefault="005F4E35">
            <w:pPr>
              <w:spacing w:after="0" w:line="276" w:lineRule="auto"/>
              <w:jc w:val="center"/>
            </w:pPr>
            <w:r>
              <w:rPr>
                <w:rFonts w:ascii="Times New Roman" w:eastAsia="Times New Roman" w:hAnsi="Times New Roman" w:cs="Times New Roman"/>
                <w:b/>
                <w:sz w:val="26"/>
              </w:rPr>
              <w:t>Số ký hiệu</w:t>
            </w:r>
          </w:p>
        </w:tc>
        <w:tc>
          <w:tcPr>
            <w:tcW w:w="3500" w:type="dxa"/>
          </w:tcPr>
          <w:p w:rsidR="00B77A10" w:rsidRDefault="00B77A10"/>
          <w:p w:rsidR="00B77A10" w:rsidRDefault="005F4E35">
            <w:pPr>
              <w:spacing w:after="0" w:line="276" w:lineRule="auto"/>
              <w:jc w:val="center"/>
            </w:pPr>
            <w:r>
              <w:rPr>
                <w:rFonts w:ascii="Times New Roman" w:eastAsia="Times New Roman" w:hAnsi="Times New Roman" w:cs="Times New Roman"/>
                <w:b/>
                <w:sz w:val="26"/>
              </w:rPr>
              <w:t>Trích yếu</w:t>
            </w:r>
          </w:p>
        </w:tc>
        <w:tc>
          <w:tcPr>
            <w:tcW w:w="1500" w:type="dxa"/>
          </w:tcPr>
          <w:p w:rsidR="00B77A10" w:rsidRDefault="00B77A10"/>
          <w:p w:rsidR="00B77A10" w:rsidRDefault="005F4E35">
            <w:pPr>
              <w:spacing w:after="0" w:line="276" w:lineRule="auto"/>
              <w:jc w:val="center"/>
            </w:pPr>
            <w:r>
              <w:rPr>
                <w:rFonts w:ascii="Times New Roman" w:eastAsia="Times New Roman" w:hAnsi="Times New Roman" w:cs="Times New Roman"/>
                <w:b/>
                <w:sz w:val="26"/>
              </w:rPr>
              <w:t>Ngày ban hành</w:t>
            </w:r>
          </w:p>
        </w:tc>
        <w:tc>
          <w:tcPr>
            <w:tcW w:w="3000" w:type="dxa"/>
          </w:tcPr>
          <w:p w:rsidR="00B77A10" w:rsidRDefault="00B77A10"/>
          <w:p w:rsidR="00B77A10" w:rsidRDefault="005F4E35">
            <w:pPr>
              <w:spacing w:after="0" w:line="276" w:lineRule="auto"/>
              <w:jc w:val="center"/>
            </w:pPr>
            <w:r>
              <w:rPr>
                <w:rFonts w:ascii="Times New Roman" w:eastAsia="Times New Roman" w:hAnsi="Times New Roman" w:cs="Times New Roman"/>
                <w:b/>
                <w:sz w:val="26"/>
              </w:rPr>
              <w:t>Cơ quan ban hành</w:t>
            </w:r>
          </w:p>
        </w:tc>
      </w:tr>
      <w:tr w:rsidR="00B77A10">
        <w:tblPrEx>
          <w:tblCellMar>
            <w:top w:w="0" w:type="dxa"/>
            <w:bottom w:w="0" w:type="dxa"/>
          </w:tblCellMar>
        </w:tblPrEx>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16/2012/QH13</w:t>
            </w:r>
          </w:p>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Luật 16/2012/QH13-Quảng cáo</w:t>
            </w:r>
          </w:p>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21-06-2012</w:t>
            </w:r>
          </w:p>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Quốc Hội</w:t>
            </w:r>
          </w:p>
        </w:tc>
      </w:tr>
      <w:tr w:rsidR="00B77A10">
        <w:tblPrEx>
          <w:tblCellMar>
            <w:top w:w="0" w:type="dxa"/>
            <w:bottom w:w="0" w:type="dxa"/>
          </w:tblCellMar>
        </w:tblPrEx>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09/2015/TT-BYT</w:t>
            </w:r>
          </w:p>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Thông tư 09/2015/TT-BYT - Quy định về xác nhận nội dung quảng cáo đối với sản phẩm, hàng hóa, dịch vụ đặc biệt thuộc lĩnh vực quản lý của Bộ Y tế</w:t>
            </w:r>
          </w:p>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25-05-2015</w:t>
            </w:r>
          </w:p>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Bộ Y tế</w:t>
            </w:r>
          </w:p>
        </w:tc>
      </w:tr>
      <w:tr w:rsidR="00B77A10">
        <w:tblPrEx>
          <w:tblCellMar>
            <w:top w:w="0" w:type="dxa"/>
            <w:bottom w:w="0" w:type="dxa"/>
          </w:tblCellMar>
        </w:tblPrEx>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181/2013/NĐ-CP</w:t>
            </w:r>
          </w:p>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Nghị định 181/2013/NĐ-CP - Quy định chi tiết thi hành một số điều của Luật Quảng Cáo</w:t>
            </w:r>
          </w:p>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14-11-2013</w:t>
            </w:r>
          </w:p>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Chính phủ</w:t>
            </w:r>
          </w:p>
        </w:tc>
      </w:tr>
      <w:tr w:rsidR="00B77A10">
        <w:tblPrEx>
          <w:tblCellMar>
            <w:top w:w="0" w:type="dxa"/>
            <w:bottom w:w="0" w:type="dxa"/>
          </w:tblCellMar>
        </w:tblPrEx>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06/2007/QH12</w:t>
            </w:r>
          </w:p>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Luật 06/2007/QH12 - Hóa chất</w:t>
            </w:r>
          </w:p>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21-11-2007</w:t>
            </w:r>
          </w:p>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Quốc Hội</w:t>
            </w:r>
          </w:p>
        </w:tc>
      </w:tr>
      <w:tr w:rsidR="00B77A10">
        <w:tblPrEx>
          <w:tblCellMar>
            <w:top w:w="0" w:type="dxa"/>
            <w:bottom w:w="0" w:type="dxa"/>
          </w:tblCellMar>
        </w:tblPrEx>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20/2024/TT-BYT</w:t>
            </w:r>
          </w:p>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Thông tư sửa đổi, bổ sung một số điều của Thông tư số 09/2015/TT-BYT ngày 25 tháng 5 năm 2015 của Bộ trưởng Bộ Y tế quy định về xác nhận nội dung quảng cáo đối với sản phẩm, hàng hóa, dịch vụ đặc biệt thuộc lĩnh vực quản lý của Bộ Y tế.</w:t>
            </w:r>
          </w:p>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14-10-2024</w:t>
            </w:r>
          </w:p>
        </w:tc>
        <w:tc>
          <w:tcPr>
            <w:tcW w:w="0" w:type="auto"/>
          </w:tcPr>
          <w:p w:rsidR="00B77A10" w:rsidRDefault="00B77A10"/>
          <w:p w:rsidR="00B77A10" w:rsidRDefault="005F4E35">
            <w:pPr>
              <w:spacing w:after="0" w:line="276" w:lineRule="auto"/>
            </w:pPr>
            <w:r>
              <w:rPr>
                <w:rFonts w:ascii="Times New Roman" w:eastAsia="Times New Roman" w:hAnsi="Times New Roman" w:cs="Times New Roman"/>
                <w:sz w:val="26"/>
              </w:rPr>
              <w:t>Bộ Y tế</w:t>
            </w:r>
          </w:p>
        </w:tc>
      </w:tr>
    </w:tbl>
    <w:p w:rsidR="00B77A10" w:rsidRDefault="005F4E3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B77A10" w:rsidRDefault="005F4E3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B77A10" w:rsidRDefault="005F4E3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https://thutuc.dichvucong.gov.vn/p/home/dvc-tthc-thu-tuc-hanh-chinh-chi-tiet.html?ma_thu_tuc=1665</w:t>
      </w:r>
    </w:p>
    <w:sectPr w:rsidR="00B77A1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77A10"/>
    <w:rsid w:val="005F4E35"/>
    <w:rsid w:val="00722BEE"/>
    <w:rsid w:val="00B77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FECAC2-7E8F-43A0-ADA4-D9A0AC449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544</Words>
  <Characters>3102</Characters>
  <Application>Microsoft Office Word</Application>
  <DocSecurity>0</DocSecurity>
  <Lines>25</Lines>
  <Paragraphs>7</Paragraphs>
  <ScaleCrop>false</ScaleCrop>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2025-12-02T12:09:00Z</dcterms:created>
  <dcterms:modified xsi:type="dcterms:W3CDTF">2025-12-02T12:09:00Z</dcterms:modified>
</cp:coreProperties>
</file>