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714B" w:rsidRDefault="00CE4C42">
      <w:pPr>
        <w:spacing w:after="300" w:line="276" w:lineRule="auto"/>
        <w:jc w:val="center"/>
      </w:pPr>
      <w:r>
        <w:rPr>
          <w:rFonts w:ascii="Times New Roman" w:eastAsia="Times New Roman" w:hAnsi="Times New Roman" w:cs="Times New Roman"/>
          <w:b/>
          <w:sz w:val="26"/>
        </w:rPr>
        <w:t>Chi tiết thủ tục hành chính</w:t>
      </w:r>
    </w:p>
    <w:p w:rsidR="0074714B" w:rsidRDefault="00CE4C4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1.001699</w:t>
      </w:r>
    </w:p>
    <w:p w:rsidR="0074714B" w:rsidRDefault="00CE4C4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970/QĐ-BYT</w:t>
      </w:r>
    </w:p>
    <w:p w:rsidR="0074714B" w:rsidRDefault="00CE4C4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Xác định, xác định lại mức độ khuyết tật và cấp Giấy xác nhận khuyết tật</w:t>
      </w:r>
    </w:p>
    <w:p w:rsidR="0074714B" w:rsidRDefault="00CE4C4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74714B" w:rsidRDefault="00CE4C4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74714B" w:rsidRDefault="00CE4C4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trợ xã hội</w:t>
      </w:r>
    </w:p>
    <w:p w:rsidR="0074714B" w:rsidRDefault="00CE4C42">
      <w:pPr>
        <w:spacing w:after="0" w:line="276" w:lineRule="auto"/>
        <w:jc w:val="both"/>
      </w:pPr>
      <w:r>
        <w:rPr>
          <w:rFonts w:ascii="Times New Roman" w:eastAsia="Times New Roman" w:hAnsi="Times New Roman" w:cs="Times New Roman"/>
          <w:b/>
          <w:sz w:val="26"/>
        </w:rPr>
        <w:t xml:space="preserve">Trình tự thực hiện: </w:t>
      </w:r>
    </w:p>
    <w:p w:rsidR="0074714B" w:rsidRDefault="0074714B">
      <w:pPr>
        <w:shd w:val="clear" w:color="auto" w:fill="F2F6F9"/>
        <w:spacing w:before="120" w:after="0" w:line="276" w:lineRule="auto"/>
        <w:jc w:val="both"/>
      </w:pPr>
    </w:p>
    <w:p w:rsidR="0074714B" w:rsidRDefault="00CE4C42">
      <w:pPr>
        <w:spacing w:after="0" w:line="276" w:lineRule="auto"/>
        <w:jc w:val="both"/>
      </w:pPr>
      <w:r>
        <w:rPr>
          <w:rFonts w:ascii="Times New Roman" w:eastAsia="Times New Roman" w:hAnsi="Times New Roman" w:cs="Times New Roman"/>
          <w:sz w:val="26"/>
        </w:rPr>
        <w:t>Bước 1: Khi có nhu cầu xác định, xác định lại mức độ khuyết tật thì người đề nghị hoặc người đại diện hợp pháp của người khuyết tật làm hồ sơ theo quy định tại Điều 4 Thông tư số 01/2019/TT-BLĐTBXH ngày 02 tháng 1 năm 2019 của Bộ trưởng Bộ Lao động - Thương binh và Xã hội quy định về việc xác định mức độ khuyết tật do Hội đồng xác định mức độ khuyết tật thực hiện (sau đây gọi tắt là Thông tư số 01/2019/TT-BLĐTBXH), riêng mẫu số 01 được sửa đổi, bổ sung tại Thông tư số 08/2023/TT-BLĐTBXH ngày 29/8/2023 của B</w:t>
      </w:r>
      <w:r>
        <w:rPr>
          <w:rFonts w:ascii="Times New Roman" w:eastAsia="Times New Roman" w:hAnsi="Times New Roman" w:cs="Times New Roman"/>
          <w:sz w:val="26"/>
        </w:rPr>
        <w:t>ộ trưởng Bộ Lao động - Thương binh và Xã hội sửa đổi, bổ sung, bãi bỏ một số điều của các Thông tư, Thông tư liên tịch có quy định liên quan đến việc nộp, xuất trình sổ hộ khẩu giấy, sổ tạm trú giấy hoặc giấy tờ có yêu cầu xác nhận nơi cư trú khi thực hiện thủ tục hành chính thuộc lĩnh vực quản lý nhà nước của Bộ Lao động - Thương binh và Xã hội) (sau đây gọi tắt là Thông tư số 08/2023/TT-BLĐTBXH) gửi Chủ tịch Ủy ban nhân dân cấp xã nơi cư trú theo quy định của pháp luật. Bước 2: Trong thời hạn 20 ngày làm</w:t>
      </w:r>
      <w:r>
        <w:rPr>
          <w:rFonts w:ascii="Times New Roman" w:eastAsia="Times New Roman" w:hAnsi="Times New Roman" w:cs="Times New Roman"/>
          <w:sz w:val="26"/>
        </w:rPr>
        <w:t xml:space="preserve"> việc, kể từ ngày nhận đơn đề nghị xác định mức độ khuyết tật, Chủ tịch Ủy ban nhân dân cấp xã có trách nhiệm: 1. Gửi văn bản tham khảo ý kiến cơ sở giáo dục về tình trạng khó khăn trong học tập, sinh hoạt, giao tiếp và kiến nghị về dạng khuyết tật, mức độ khuyết tật của người được xác định mức độ khuyết tật đang đi học theo Mẫu số 04 quy định tại Thông tư số 01/2019/TT-BLĐTBXH. 2. Triệu tập các thành viên, gửi thông báo về thời gian và địa điểm xác định mức độ khuyết tật cho người khuyết tật hoặc người đại</w:t>
      </w:r>
      <w:r>
        <w:rPr>
          <w:rFonts w:ascii="Times New Roman" w:eastAsia="Times New Roman" w:hAnsi="Times New Roman" w:cs="Times New Roman"/>
          <w:sz w:val="26"/>
        </w:rPr>
        <w:t xml:space="preserve"> diện hợp pháp của họ. 3. Tổ chức đánh giá dạng khuyết tật và mức độ khuyết tật đối với người khuyết tật theo phương pháp quy định tại Điều 3 và theo các mẫu số 02 hoặc mẫu số 03 của Thông tư số 01/2019/TT-BLĐTBXH (được sửa đổi, bổ sung tại Thông tư số 08/2023/TT-BLĐTBXH). Việc thực hiện xác định mức độ khuyết tật được tiến hành tại Ủy ban nhân dân cấp xã hoặc Trạm y tế. Trường hợp người khuyết tật không thể đến được địa điểm quy định trên đây thì Hội đồng tiến hành quan sát và phỏng vấn người k</w:t>
      </w:r>
      <w:r>
        <w:rPr>
          <w:rFonts w:ascii="Times New Roman" w:eastAsia="Times New Roman" w:hAnsi="Times New Roman" w:cs="Times New Roman"/>
          <w:sz w:val="26"/>
        </w:rPr>
        <w:t xml:space="preserve">huyết tật tại nơi cư trú của người khuyết tật. Bước 3: Lập hồ sơ, biên bản kết luận dạng khuyết tật và mức độ khuyết tật của người được đánh giá theo Mẫu số 05 ban hành kèm Thông tư số 01/2019/TT-BLĐTBXH (được sửa đổi, bổ sung tại Thông tư số 08/2023/TT-BLĐTBXH).  1. Riêng đối với trường hợp người khuyết tật đã có kết luận của Hội đồng Giám định y khoa về khả năng tự phục vụ, mức độ suy giảm khả năng lao </w:t>
      </w:r>
      <w:r>
        <w:rPr>
          <w:rFonts w:ascii="Times New Roman" w:eastAsia="Times New Roman" w:hAnsi="Times New Roman" w:cs="Times New Roman"/>
          <w:sz w:val="26"/>
        </w:rPr>
        <w:lastRenderedPageBreak/>
        <w:t xml:space="preserve">động trước ngày 01/6/2012, Hội đồng xác định mức độ khuyết tật căn cứ kết luận của Hội đồng giám định </w:t>
      </w:r>
      <w:r>
        <w:rPr>
          <w:rFonts w:ascii="Times New Roman" w:eastAsia="Times New Roman" w:hAnsi="Times New Roman" w:cs="Times New Roman"/>
          <w:sz w:val="26"/>
        </w:rPr>
        <w:t>y khoa để xác định mức độ khuyết tật theo quy định tại khoản 3 Điều 4 Nghị định số 28/2012/NĐ-CP của Chính phủ, cụ thể như sau: Người khuyết tật đặc biệt nặng khi được Hội đồng giám định y khoa kết luận không còn khả năng tự phục vụ hoặc suy giảm khả năng lao động từ 81% trở lên; Người khuyết tật nặng khi được Hội đồng giám định y khoa kết luận có khả năng tự phục vụ sinh hoạt nếu có người, phương tiện trợ giúp một phần hoặc suy giảm khả năng lao động từ 61% đến 80%; Người khuyết tật nhẹ khi được Hội đồng g</w:t>
      </w:r>
      <w:r>
        <w:rPr>
          <w:rFonts w:ascii="Times New Roman" w:eastAsia="Times New Roman" w:hAnsi="Times New Roman" w:cs="Times New Roman"/>
          <w:sz w:val="26"/>
        </w:rPr>
        <w:t>iám định y khoa kết luận có khả năng tự phục vụ sinh hoạt hoặc suy giảm khả năng lao động dưới 61%. 2. Đối với những trường hợp theo quy định tại khoản 2, Điều 15 Luật người khuyết tật (gồm: Hội đồng xác định mức độ khuyết tật không đưa ra được kết luận về mức độ khuyết tật; Người khuyết tật hoặc đại diện hợp pháp của người khuyết tật không đồng ý với kết luận của Hội đồng xác định mức độ khuyết tật; Có bằng chứng xác thực về việc xác định mức độ khuyết tật của Hội đồng xác định mức độ khuyết tật không khác</w:t>
      </w:r>
      <w:r>
        <w:rPr>
          <w:rFonts w:ascii="Times New Roman" w:eastAsia="Times New Roman" w:hAnsi="Times New Roman" w:cs="Times New Roman"/>
          <w:sz w:val="26"/>
        </w:rPr>
        <w:t>h quan, chính xác), thì Hội đồng cấp giấy giới thiệu và lập danh sách chuyển Hội đồng giám định y khoa thực hiện (qua Phòng Y tế). Bước 4: Trong thời hạn 05 ngày làm việc, kể từ ngày có biên bản kết luận của Hội đồng về dạng khuyết tật và mức độ khuyết tật, Chủ tịch Ủy ban nhân cấp xã niêm yết, thông báo công khai kết luận của Hội đồng tại trụ sở Ủy ban nhân dân cấp xã và cấp Giấy xác nhận khuyết tật theo mẫu số 06 ban hành kèm Thông tư số 01/2019/TT-BLĐTBXH (được sửa đổi, bổ sung tại Thông tư số 08/2023/TT</w:t>
      </w:r>
      <w:r>
        <w:rPr>
          <w:rFonts w:ascii="Times New Roman" w:eastAsia="Times New Roman" w:hAnsi="Times New Roman" w:cs="Times New Roman"/>
          <w:sz w:val="26"/>
        </w:rPr>
        <w:t xml:space="preserve">-BLĐTBXH). Trường hợp có khiếu nại, tố cáo hoặc không đồng ý với kết luận của Hội đồng thì trong thời hạn 05 ngày làm việc, Hội đồng tiến hành xác minh, thẩm tra, kết luận cụ thể và trả lời bằng văn bản cho người khiếu nại, tố cáo. Đối với trường hợp do Hội đồng giám định y khoa xác định, kết luận về dạng khuyết tật và mức độ khuyết tật, trong thời hạn 05 ngày làm việc kể từ khi nhận được kết luận của Hội đồng Giám định y khoa, Chủ tịch Ủy ban nhân dân cấp xã cấp Giấy xác nhận khuyết tật theo mẫu số 06 ban </w:t>
      </w:r>
      <w:r>
        <w:rPr>
          <w:rFonts w:ascii="Times New Roman" w:eastAsia="Times New Roman" w:hAnsi="Times New Roman" w:cs="Times New Roman"/>
          <w:sz w:val="26"/>
        </w:rPr>
        <w:t>hành kèm Thông tư số 01/2019/TT-BLĐTBXH (được sửa đổi, bổ sung tại Thông tư số 08/2023/TT-BLĐTBXH).</w:t>
      </w:r>
    </w:p>
    <w:p w:rsidR="0074714B" w:rsidRDefault="00CE4C4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74714B">
        <w:tblPrEx>
          <w:tblCellMar>
            <w:top w:w="0" w:type="dxa"/>
            <w:bottom w:w="0" w:type="dxa"/>
          </w:tblCellMar>
        </w:tblPrEx>
        <w:tc>
          <w:tcPr>
            <w:tcW w:w="1500" w:type="dxa"/>
          </w:tcPr>
          <w:p w:rsidR="0074714B" w:rsidRDefault="0074714B"/>
          <w:p w:rsidR="0074714B" w:rsidRDefault="00CE4C42">
            <w:pPr>
              <w:spacing w:after="0" w:line="276" w:lineRule="auto"/>
              <w:jc w:val="center"/>
            </w:pPr>
            <w:r>
              <w:rPr>
                <w:rFonts w:ascii="Times New Roman" w:eastAsia="Times New Roman" w:hAnsi="Times New Roman" w:cs="Times New Roman"/>
                <w:b/>
                <w:sz w:val="26"/>
              </w:rPr>
              <w:t>Hình thức nộp</w:t>
            </w:r>
          </w:p>
        </w:tc>
        <w:tc>
          <w:tcPr>
            <w:tcW w:w="2000" w:type="dxa"/>
          </w:tcPr>
          <w:p w:rsidR="0074714B" w:rsidRDefault="0074714B"/>
          <w:p w:rsidR="0074714B" w:rsidRDefault="00CE4C42">
            <w:pPr>
              <w:spacing w:after="0" w:line="276" w:lineRule="auto"/>
              <w:jc w:val="center"/>
            </w:pPr>
            <w:r>
              <w:rPr>
                <w:rFonts w:ascii="Times New Roman" w:eastAsia="Times New Roman" w:hAnsi="Times New Roman" w:cs="Times New Roman"/>
                <w:b/>
                <w:sz w:val="26"/>
              </w:rPr>
              <w:t>Thời hạn giải quyết</w:t>
            </w:r>
          </w:p>
        </w:tc>
        <w:tc>
          <w:tcPr>
            <w:tcW w:w="3500" w:type="dxa"/>
          </w:tcPr>
          <w:p w:rsidR="0074714B" w:rsidRDefault="0074714B"/>
          <w:p w:rsidR="0074714B" w:rsidRDefault="00CE4C42">
            <w:pPr>
              <w:spacing w:after="0" w:line="276" w:lineRule="auto"/>
              <w:jc w:val="center"/>
            </w:pPr>
            <w:r>
              <w:rPr>
                <w:rFonts w:ascii="Times New Roman" w:eastAsia="Times New Roman" w:hAnsi="Times New Roman" w:cs="Times New Roman"/>
                <w:b/>
                <w:sz w:val="26"/>
              </w:rPr>
              <w:t>Phí, lệ phí</w:t>
            </w:r>
          </w:p>
        </w:tc>
        <w:tc>
          <w:tcPr>
            <w:tcW w:w="3000" w:type="dxa"/>
          </w:tcPr>
          <w:p w:rsidR="0074714B" w:rsidRDefault="0074714B"/>
          <w:p w:rsidR="0074714B" w:rsidRDefault="00CE4C42">
            <w:pPr>
              <w:spacing w:after="0" w:line="276" w:lineRule="auto"/>
              <w:jc w:val="center"/>
            </w:pPr>
            <w:r>
              <w:rPr>
                <w:rFonts w:ascii="Times New Roman" w:eastAsia="Times New Roman" w:hAnsi="Times New Roman" w:cs="Times New Roman"/>
                <w:b/>
                <w:sz w:val="26"/>
              </w:rPr>
              <w:t>Mô tả</w:t>
            </w:r>
          </w:p>
        </w:tc>
      </w:tr>
      <w:tr w:rsidR="0074714B">
        <w:tblPrEx>
          <w:tblCellMar>
            <w:top w:w="0" w:type="dxa"/>
            <w:bottom w:w="0" w:type="dxa"/>
          </w:tblCellMar>
        </w:tblPrEx>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Trực tiếp</w:t>
            </w:r>
          </w:p>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25 Ngày làm việc</w:t>
            </w:r>
          </w:p>
        </w:tc>
        <w:tc>
          <w:tcPr>
            <w:tcW w:w="0" w:type="auto"/>
          </w:tcPr>
          <w:p w:rsidR="0074714B" w:rsidRDefault="0074714B"/>
          <w:p w:rsidR="0074714B" w:rsidRDefault="0074714B">
            <w:pPr>
              <w:spacing w:after="0" w:line="276" w:lineRule="auto"/>
            </w:pPr>
          </w:p>
        </w:tc>
        <w:tc>
          <w:tcPr>
            <w:tcW w:w="0" w:type="auto"/>
          </w:tcPr>
          <w:p w:rsidR="0074714B" w:rsidRDefault="0074714B"/>
        </w:tc>
      </w:tr>
      <w:tr w:rsidR="0074714B">
        <w:tblPrEx>
          <w:tblCellMar>
            <w:top w:w="0" w:type="dxa"/>
            <w:bottom w:w="0" w:type="dxa"/>
          </w:tblCellMar>
        </w:tblPrEx>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Trực tuyến</w:t>
            </w:r>
          </w:p>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25 Ngày làm việc</w:t>
            </w:r>
          </w:p>
        </w:tc>
        <w:tc>
          <w:tcPr>
            <w:tcW w:w="0" w:type="auto"/>
          </w:tcPr>
          <w:p w:rsidR="0074714B" w:rsidRDefault="0074714B"/>
          <w:p w:rsidR="0074714B" w:rsidRDefault="0074714B">
            <w:pPr>
              <w:spacing w:after="0" w:line="276" w:lineRule="auto"/>
            </w:pPr>
          </w:p>
        </w:tc>
        <w:tc>
          <w:tcPr>
            <w:tcW w:w="0" w:type="auto"/>
          </w:tcPr>
          <w:p w:rsidR="0074714B" w:rsidRDefault="0074714B"/>
        </w:tc>
      </w:tr>
      <w:tr w:rsidR="0074714B">
        <w:tblPrEx>
          <w:tblCellMar>
            <w:top w:w="0" w:type="dxa"/>
            <w:bottom w:w="0" w:type="dxa"/>
          </w:tblCellMar>
        </w:tblPrEx>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Dịch vụ bưu chính</w:t>
            </w:r>
          </w:p>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25 Ngày làm việc</w:t>
            </w:r>
          </w:p>
        </w:tc>
        <w:tc>
          <w:tcPr>
            <w:tcW w:w="0" w:type="auto"/>
          </w:tcPr>
          <w:p w:rsidR="0074714B" w:rsidRDefault="0074714B"/>
          <w:p w:rsidR="0074714B" w:rsidRDefault="0074714B">
            <w:pPr>
              <w:spacing w:after="0" w:line="276" w:lineRule="auto"/>
            </w:pPr>
          </w:p>
        </w:tc>
        <w:tc>
          <w:tcPr>
            <w:tcW w:w="0" w:type="auto"/>
          </w:tcPr>
          <w:p w:rsidR="0074714B" w:rsidRDefault="0074714B"/>
        </w:tc>
      </w:tr>
    </w:tbl>
    <w:p w:rsidR="0074714B" w:rsidRDefault="00CE4C42">
      <w:pPr>
        <w:spacing w:before="240" w:after="0" w:line="276" w:lineRule="auto"/>
        <w:jc w:val="both"/>
      </w:pPr>
      <w:r>
        <w:rPr>
          <w:rFonts w:ascii="Times New Roman" w:eastAsia="Times New Roman" w:hAnsi="Times New Roman" w:cs="Times New Roman"/>
          <w:b/>
          <w:sz w:val="26"/>
        </w:rPr>
        <w:t xml:space="preserve">Thành phần hồ sơ: </w:t>
      </w:r>
    </w:p>
    <w:p w:rsidR="0074714B" w:rsidRDefault="00CE4C42">
      <w:pPr>
        <w:shd w:val="clear" w:color="auto" w:fill="F2F6F9"/>
        <w:spacing w:before="120" w:after="0" w:line="276" w:lineRule="auto"/>
        <w:jc w:val="both"/>
      </w:pPr>
      <w:r>
        <w:rPr>
          <w:rFonts w:ascii="Times New Roman" w:eastAsia="Times New Roman" w:hAnsi="Times New Roman" w:cs="Times New Roman"/>
          <w:b/>
          <w:sz w:val="26"/>
        </w:rPr>
        <w:t xml:space="preserve"> Đối với trường hợp xác định lại khuyết tật</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58"/>
        <w:gridCol w:w="1546"/>
        <w:gridCol w:w="1121"/>
      </w:tblGrid>
      <w:tr w:rsidR="0074714B">
        <w:tblPrEx>
          <w:tblCellMar>
            <w:top w:w="0" w:type="dxa"/>
            <w:bottom w:w="0" w:type="dxa"/>
          </w:tblCellMar>
        </w:tblPrEx>
        <w:tc>
          <w:tcPr>
            <w:tcW w:w="6000" w:type="dxa"/>
          </w:tcPr>
          <w:p w:rsidR="0074714B" w:rsidRDefault="0074714B"/>
          <w:p w:rsidR="0074714B" w:rsidRDefault="00CE4C42">
            <w:pPr>
              <w:spacing w:after="0" w:line="276" w:lineRule="auto"/>
              <w:jc w:val="center"/>
            </w:pPr>
            <w:r>
              <w:rPr>
                <w:rFonts w:ascii="Times New Roman" w:eastAsia="Times New Roman" w:hAnsi="Times New Roman" w:cs="Times New Roman"/>
                <w:b/>
                <w:sz w:val="26"/>
              </w:rPr>
              <w:t>Tên giấy tờ</w:t>
            </w:r>
          </w:p>
        </w:tc>
        <w:tc>
          <w:tcPr>
            <w:tcW w:w="2000" w:type="dxa"/>
          </w:tcPr>
          <w:p w:rsidR="0074714B" w:rsidRDefault="0074714B"/>
          <w:p w:rsidR="0074714B" w:rsidRDefault="00CE4C42">
            <w:pPr>
              <w:spacing w:after="0" w:line="276" w:lineRule="auto"/>
              <w:jc w:val="center"/>
            </w:pPr>
            <w:r>
              <w:rPr>
                <w:rFonts w:ascii="Times New Roman" w:eastAsia="Times New Roman" w:hAnsi="Times New Roman" w:cs="Times New Roman"/>
                <w:b/>
                <w:sz w:val="26"/>
              </w:rPr>
              <w:t>Mẫu đơn, tờ khai</w:t>
            </w:r>
          </w:p>
        </w:tc>
        <w:tc>
          <w:tcPr>
            <w:tcW w:w="2000" w:type="dxa"/>
          </w:tcPr>
          <w:p w:rsidR="0074714B" w:rsidRDefault="0074714B"/>
          <w:p w:rsidR="0074714B" w:rsidRDefault="00CE4C42">
            <w:pPr>
              <w:spacing w:after="0" w:line="276" w:lineRule="auto"/>
              <w:jc w:val="center"/>
            </w:pPr>
            <w:r>
              <w:rPr>
                <w:rFonts w:ascii="Times New Roman" w:eastAsia="Times New Roman" w:hAnsi="Times New Roman" w:cs="Times New Roman"/>
                <w:b/>
                <w:sz w:val="26"/>
              </w:rPr>
              <w:t>Số lượng</w:t>
            </w:r>
          </w:p>
        </w:tc>
      </w:tr>
      <w:tr w:rsidR="0074714B">
        <w:tblPrEx>
          <w:tblCellMar>
            <w:top w:w="0" w:type="dxa"/>
            <w:bottom w:w="0" w:type="dxa"/>
          </w:tblCellMar>
        </w:tblPrEx>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 Đơn đề nghị theo Mẫu số 01 ban hành kèm Thông tư số 01/2019/TT-BLĐTBXH (được sửa đổi, bổ sung tại Thông tư số 08/2023/TT-BLĐTBXH).</w:t>
            </w:r>
          </w:p>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Mus01.docx</w:t>
            </w:r>
          </w:p>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4714B">
        <w:tblPrEx>
          <w:tblCellMar>
            <w:top w:w="0" w:type="dxa"/>
            <w:bottom w:w="0" w:type="dxa"/>
          </w:tblCellMar>
        </w:tblPrEx>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 Bản sao các giấy tờ liên quan đến khuyết tật (nếu có) như: bệnh án, giấy tờ khám, điều trị, phẫu thuật, Giấy xác nhận khuyết tật cũ hoặc các giấy tờ liên quan khác.</w:t>
            </w:r>
          </w:p>
        </w:tc>
        <w:tc>
          <w:tcPr>
            <w:tcW w:w="0" w:type="auto"/>
          </w:tcPr>
          <w:p w:rsidR="0074714B" w:rsidRDefault="0074714B"/>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74714B" w:rsidRDefault="00CE4C42">
      <w:pPr>
        <w:shd w:val="clear" w:color="auto" w:fill="F2F6F9"/>
        <w:spacing w:before="120" w:after="0" w:line="276" w:lineRule="auto"/>
        <w:jc w:val="both"/>
      </w:pPr>
      <w:r>
        <w:rPr>
          <w:rFonts w:ascii="Times New Roman" w:eastAsia="Times New Roman" w:hAnsi="Times New Roman" w:cs="Times New Roman"/>
          <w:b/>
          <w:sz w:val="26"/>
        </w:rPr>
        <w:t>Đối với trường hợp xác định khuyết tật</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23"/>
        <w:gridCol w:w="1490"/>
        <w:gridCol w:w="1012"/>
      </w:tblGrid>
      <w:tr w:rsidR="0074714B">
        <w:tblPrEx>
          <w:tblCellMar>
            <w:top w:w="0" w:type="dxa"/>
            <w:bottom w:w="0" w:type="dxa"/>
          </w:tblCellMar>
        </w:tblPrEx>
        <w:tc>
          <w:tcPr>
            <w:tcW w:w="6000" w:type="dxa"/>
          </w:tcPr>
          <w:p w:rsidR="0074714B" w:rsidRDefault="0074714B"/>
          <w:p w:rsidR="0074714B" w:rsidRDefault="00CE4C42">
            <w:pPr>
              <w:spacing w:after="0" w:line="276" w:lineRule="auto"/>
              <w:jc w:val="center"/>
            </w:pPr>
            <w:r>
              <w:rPr>
                <w:rFonts w:ascii="Times New Roman" w:eastAsia="Times New Roman" w:hAnsi="Times New Roman" w:cs="Times New Roman"/>
                <w:b/>
                <w:sz w:val="26"/>
              </w:rPr>
              <w:t>Tên giấy tờ</w:t>
            </w:r>
          </w:p>
        </w:tc>
        <w:tc>
          <w:tcPr>
            <w:tcW w:w="2000" w:type="dxa"/>
          </w:tcPr>
          <w:p w:rsidR="0074714B" w:rsidRDefault="0074714B"/>
          <w:p w:rsidR="0074714B" w:rsidRDefault="00CE4C42">
            <w:pPr>
              <w:spacing w:after="0" w:line="276" w:lineRule="auto"/>
              <w:jc w:val="center"/>
            </w:pPr>
            <w:r>
              <w:rPr>
                <w:rFonts w:ascii="Times New Roman" w:eastAsia="Times New Roman" w:hAnsi="Times New Roman" w:cs="Times New Roman"/>
                <w:b/>
                <w:sz w:val="26"/>
              </w:rPr>
              <w:t>Mẫu đơn, tờ khai</w:t>
            </w:r>
          </w:p>
        </w:tc>
        <w:tc>
          <w:tcPr>
            <w:tcW w:w="2000" w:type="dxa"/>
          </w:tcPr>
          <w:p w:rsidR="0074714B" w:rsidRDefault="0074714B"/>
          <w:p w:rsidR="0074714B" w:rsidRDefault="00CE4C42">
            <w:pPr>
              <w:spacing w:after="0" w:line="276" w:lineRule="auto"/>
              <w:jc w:val="center"/>
            </w:pPr>
            <w:r>
              <w:rPr>
                <w:rFonts w:ascii="Times New Roman" w:eastAsia="Times New Roman" w:hAnsi="Times New Roman" w:cs="Times New Roman"/>
                <w:b/>
                <w:sz w:val="26"/>
              </w:rPr>
              <w:t>Số lượng</w:t>
            </w:r>
          </w:p>
        </w:tc>
      </w:tr>
      <w:tr w:rsidR="0074714B">
        <w:tblPrEx>
          <w:tblCellMar>
            <w:top w:w="0" w:type="dxa"/>
            <w:bottom w:w="0" w:type="dxa"/>
          </w:tblCellMar>
        </w:tblPrEx>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 Đơn đề nghị theo Mẫu số 01 ban hành kèm Thông tư số 01/2019/TT-BLĐTBXH (được sửa đổi, bổ sung tại Thông tư số 08/2023/TT-BLĐTBXH).</w:t>
            </w:r>
          </w:p>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Mus01.docx</w:t>
            </w:r>
          </w:p>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4714B">
        <w:tblPrEx>
          <w:tblCellMar>
            <w:top w:w="0" w:type="dxa"/>
            <w:bottom w:w="0" w:type="dxa"/>
          </w:tblCellMar>
        </w:tblPrEx>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 Bản sao các giấy tờ liên quan đến khuyết tật (nếu có) như: bệnh án, giấy tờ khám, điều trị, phẫu thuật hoặc các giấy tờ liên quan khác.</w:t>
            </w:r>
          </w:p>
        </w:tc>
        <w:tc>
          <w:tcPr>
            <w:tcW w:w="0" w:type="auto"/>
          </w:tcPr>
          <w:p w:rsidR="0074714B" w:rsidRDefault="0074714B"/>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74714B">
        <w:tblPrEx>
          <w:tblCellMar>
            <w:top w:w="0" w:type="dxa"/>
            <w:bottom w:w="0" w:type="dxa"/>
          </w:tblCellMar>
        </w:tblPrEx>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 Bản sao kết luận của Hội đồng Giám định y khoa về khả năng tự phục vụ, mức độ suy giảm khả năng lao động đối với trường hợp người khuyết tật đã có kết luận của Hội đồng Giám định y khoa trước ngày 01/6/2012.</w:t>
            </w:r>
          </w:p>
        </w:tc>
        <w:tc>
          <w:tcPr>
            <w:tcW w:w="0" w:type="auto"/>
          </w:tcPr>
          <w:p w:rsidR="0074714B" w:rsidRDefault="0074714B"/>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74714B" w:rsidRDefault="00CE4C4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74714B" w:rsidRDefault="00CE4C4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xã, phường, thị trấn.</w:t>
      </w:r>
    </w:p>
    <w:p w:rsidR="0074714B" w:rsidRDefault="00CE4C4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74714B" w:rsidRDefault="00CE4C4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Ủy ban nhân dân cấp xã nơi người khuyết tật cư trú</w:t>
      </w:r>
    </w:p>
    <w:p w:rsidR="0074714B" w:rsidRDefault="00CE4C4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4714B" w:rsidRDefault="00CE4C4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4714B" w:rsidRDefault="00CE4C4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xác nhận khuyết tật (BYT)</w:t>
      </w:r>
    </w:p>
    <w:p w:rsidR="0074714B" w:rsidRDefault="00CE4C42">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18"/>
        <w:gridCol w:w="5686"/>
        <w:gridCol w:w="725"/>
        <w:gridCol w:w="1296"/>
      </w:tblGrid>
      <w:tr w:rsidR="0074714B">
        <w:tblPrEx>
          <w:tblCellMar>
            <w:top w:w="0" w:type="dxa"/>
            <w:bottom w:w="0" w:type="dxa"/>
          </w:tblCellMar>
        </w:tblPrEx>
        <w:tc>
          <w:tcPr>
            <w:tcW w:w="2000" w:type="dxa"/>
          </w:tcPr>
          <w:p w:rsidR="0074714B" w:rsidRDefault="0074714B"/>
          <w:p w:rsidR="0074714B" w:rsidRDefault="00CE4C42">
            <w:pPr>
              <w:spacing w:after="0" w:line="276" w:lineRule="auto"/>
              <w:jc w:val="center"/>
            </w:pPr>
            <w:r>
              <w:rPr>
                <w:rFonts w:ascii="Times New Roman" w:eastAsia="Times New Roman" w:hAnsi="Times New Roman" w:cs="Times New Roman"/>
                <w:b/>
                <w:sz w:val="26"/>
              </w:rPr>
              <w:t>Số ký hiệu</w:t>
            </w:r>
          </w:p>
        </w:tc>
        <w:tc>
          <w:tcPr>
            <w:tcW w:w="3500" w:type="dxa"/>
          </w:tcPr>
          <w:p w:rsidR="0074714B" w:rsidRDefault="0074714B"/>
          <w:p w:rsidR="0074714B" w:rsidRDefault="00CE4C42">
            <w:pPr>
              <w:spacing w:after="0" w:line="276" w:lineRule="auto"/>
              <w:jc w:val="center"/>
            </w:pPr>
            <w:r>
              <w:rPr>
                <w:rFonts w:ascii="Times New Roman" w:eastAsia="Times New Roman" w:hAnsi="Times New Roman" w:cs="Times New Roman"/>
                <w:b/>
                <w:sz w:val="26"/>
              </w:rPr>
              <w:t>Trích yếu</w:t>
            </w:r>
          </w:p>
        </w:tc>
        <w:tc>
          <w:tcPr>
            <w:tcW w:w="1500" w:type="dxa"/>
          </w:tcPr>
          <w:p w:rsidR="0074714B" w:rsidRDefault="0074714B"/>
          <w:p w:rsidR="0074714B" w:rsidRDefault="00CE4C42">
            <w:pPr>
              <w:spacing w:after="0" w:line="276" w:lineRule="auto"/>
              <w:jc w:val="center"/>
            </w:pPr>
            <w:r>
              <w:rPr>
                <w:rFonts w:ascii="Times New Roman" w:eastAsia="Times New Roman" w:hAnsi="Times New Roman" w:cs="Times New Roman"/>
                <w:b/>
                <w:sz w:val="26"/>
              </w:rPr>
              <w:t>Ngày ban hành</w:t>
            </w:r>
          </w:p>
        </w:tc>
        <w:tc>
          <w:tcPr>
            <w:tcW w:w="3000" w:type="dxa"/>
          </w:tcPr>
          <w:p w:rsidR="0074714B" w:rsidRDefault="0074714B"/>
          <w:p w:rsidR="0074714B" w:rsidRDefault="00CE4C42">
            <w:pPr>
              <w:spacing w:after="0" w:line="276" w:lineRule="auto"/>
              <w:jc w:val="center"/>
            </w:pPr>
            <w:r>
              <w:rPr>
                <w:rFonts w:ascii="Times New Roman" w:eastAsia="Times New Roman" w:hAnsi="Times New Roman" w:cs="Times New Roman"/>
                <w:b/>
                <w:sz w:val="26"/>
              </w:rPr>
              <w:t>Cơ quan ban hành</w:t>
            </w:r>
          </w:p>
        </w:tc>
      </w:tr>
      <w:tr w:rsidR="0074714B">
        <w:tblPrEx>
          <w:tblCellMar>
            <w:top w:w="0" w:type="dxa"/>
            <w:bottom w:w="0" w:type="dxa"/>
          </w:tblCellMar>
        </w:tblPrEx>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28/2012/NĐ-CP</w:t>
            </w:r>
          </w:p>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28/2012/NĐ-CP - Quy định chi tiết và hướng dẫn thi hành một số điều của Luật Người khuyết tật</w:t>
            </w:r>
          </w:p>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10-04-2012</w:t>
            </w:r>
          </w:p>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Chính phủ</w:t>
            </w:r>
          </w:p>
        </w:tc>
      </w:tr>
      <w:tr w:rsidR="0074714B">
        <w:tblPrEx>
          <w:tblCellMar>
            <w:top w:w="0" w:type="dxa"/>
            <w:bottom w:w="0" w:type="dxa"/>
          </w:tblCellMar>
        </w:tblPrEx>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01/2019/TT-BLĐTBXH</w:t>
            </w:r>
          </w:p>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Quy định về việc xác định mức độ khuyết tật do Hội đồng xác định mức độ khuyết tật thực hiện</w:t>
            </w:r>
          </w:p>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02-01-2019</w:t>
            </w:r>
          </w:p>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Bộ Lao động - Thương binh và Xã hội</w:t>
            </w:r>
          </w:p>
        </w:tc>
      </w:tr>
      <w:tr w:rsidR="0074714B">
        <w:tblPrEx>
          <w:tblCellMar>
            <w:top w:w="0" w:type="dxa"/>
            <w:bottom w:w="0" w:type="dxa"/>
          </w:tblCellMar>
        </w:tblPrEx>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51/2010/QH12</w:t>
            </w:r>
          </w:p>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Luật người khuyết tật</w:t>
            </w:r>
          </w:p>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17-06-2012</w:t>
            </w:r>
          </w:p>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Quốc Hội</w:t>
            </w:r>
          </w:p>
        </w:tc>
      </w:tr>
      <w:tr w:rsidR="0074714B">
        <w:tblPrEx>
          <w:tblCellMar>
            <w:top w:w="0" w:type="dxa"/>
            <w:bottom w:w="0" w:type="dxa"/>
          </w:tblCellMar>
        </w:tblPrEx>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08/2023/TT-BLĐTBXH</w:t>
            </w:r>
          </w:p>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Sửa đổi, bổ sung, bãi bỏ một số điều của các Thông tư, Thông tư liên tịch có quy định liên quan đến việc nộp, xuất trình sổ hộ khẩu giấy, sổ tạm trú giấy hoặc giấy tờ có yêu cầu xác nhận nơi cư trú khi thực hiện thủ tục hành chính thuộc lĩnh vực quản lý nhà nước của Bộ Lao động - Thương binh và Xã hội.</w:t>
            </w:r>
          </w:p>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29-08-2023</w:t>
            </w:r>
          </w:p>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Bộ Lao động - Thương binh và Xã hội</w:t>
            </w:r>
          </w:p>
        </w:tc>
      </w:tr>
      <w:tr w:rsidR="0074714B">
        <w:tblPrEx>
          <w:tblCellMar>
            <w:top w:w="0" w:type="dxa"/>
            <w:bottom w:w="0" w:type="dxa"/>
          </w:tblCellMar>
        </w:tblPrEx>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42/2025/NĐ-CP</w:t>
            </w:r>
          </w:p>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27-02-2025</w:t>
            </w:r>
          </w:p>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Chính phủ</w:t>
            </w:r>
          </w:p>
        </w:tc>
      </w:tr>
      <w:tr w:rsidR="0074714B">
        <w:tblPrEx>
          <w:tblCellMar>
            <w:top w:w="0" w:type="dxa"/>
            <w:bottom w:w="0" w:type="dxa"/>
          </w:tblCellMar>
        </w:tblPrEx>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45/2025/NĐ-CP</w:t>
            </w:r>
          </w:p>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28-02-2025</w:t>
            </w:r>
          </w:p>
        </w:tc>
        <w:tc>
          <w:tcPr>
            <w:tcW w:w="0" w:type="auto"/>
          </w:tcPr>
          <w:p w:rsidR="0074714B" w:rsidRDefault="0074714B"/>
          <w:p w:rsidR="0074714B" w:rsidRDefault="00CE4C42">
            <w:pPr>
              <w:spacing w:after="0" w:line="276" w:lineRule="auto"/>
            </w:pPr>
            <w:r>
              <w:rPr>
                <w:rFonts w:ascii="Times New Roman" w:eastAsia="Times New Roman" w:hAnsi="Times New Roman" w:cs="Times New Roman"/>
                <w:sz w:val="26"/>
              </w:rPr>
              <w:t>Chính phủ</w:t>
            </w:r>
          </w:p>
        </w:tc>
      </w:tr>
    </w:tbl>
    <w:p w:rsidR="0074714B" w:rsidRDefault="00CE4C4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74714B" w:rsidRDefault="00CE4C4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74714B" w:rsidRDefault="00CE4C4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sectPr w:rsidR="0074714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4714B"/>
    <w:rsid w:val="0074714B"/>
    <w:rsid w:val="00851892"/>
    <w:rsid w:val="00CE4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470A9A-3645-47A2-B652-DA95B3315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1192</Words>
  <Characters>6800</Characters>
  <Application>Microsoft Office Word</Application>
  <DocSecurity>0</DocSecurity>
  <Lines>56</Lines>
  <Paragraphs>15</Paragraphs>
  <ScaleCrop>false</ScaleCrop>
  <Company/>
  <LinksUpToDate>false</LinksUpToDate>
  <CharactersWithSpaces>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2025-12-02T12:10:00Z</dcterms:created>
  <dcterms:modified xsi:type="dcterms:W3CDTF">2025-12-02T12:10:00Z</dcterms:modified>
</cp:coreProperties>
</file>