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803D" w14:textId="77777777" w:rsidR="00D260C4" w:rsidRDefault="002125D7">
      <w:pPr>
        <w:spacing w:after="300" w:line="276" w:lineRule="auto"/>
        <w:jc w:val="center"/>
      </w:pPr>
      <w:r>
        <w:rPr>
          <w:rFonts w:ascii="Times New Roman" w:eastAsia="Times New Roman" w:hAnsi="Times New Roman" w:cs="Times New Roman"/>
          <w:b/>
          <w:sz w:val="26"/>
        </w:rPr>
        <w:t>Chi tiết thủ tục hành chính</w:t>
      </w:r>
    </w:p>
    <w:p w14:paraId="4A9294B4" w14:textId="77777777" w:rsidR="00D260C4" w:rsidRDefault="002125D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1.002316</w:t>
      </w:r>
    </w:p>
    <w:p w14:paraId="745F90A2" w14:textId="77777777" w:rsidR="00D260C4" w:rsidRDefault="002125D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14:paraId="113C8F7D" w14:textId="77777777" w:rsidR="00D260C4" w:rsidRDefault="002125D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lần đầu việc đáp ứng Thực hành tốt thử thuốc trên lâm sàng đối với cơ sở kinh doanh dịch vụ thử thuốc trên lâm sàng</w:t>
      </w:r>
    </w:p>
    <w:p w14:paraId="5B5972F8" w14:textId="77777777" w:rsidR="00D260C4" w:rsidRDefault="002125D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19C75A7" w14:textId="77777777" w:rsidR="00D260C4" w:rsidRDefault="002125D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A5A4E2D" w14:textId="77777777" w:rsidR="00D260C4" w:rsidRDefault="002125D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3575EB44" w14:textId="77777777" w:rsidR="00D260C4" w:rsidRDefault="002125D7">
      <w:pPr>
        <w:spacing w:after="0" w:line="276" w:lineRule="auto"/>
        <w:jc w:val="both"/>
      </w:pPr>
      <w:r>
        <w:rPr>
          <w:rFonts w:ascii="Times New Roman" w:eastAsia="Times New Roman" w:hAnsi="Times New Roman" w:cs="Times New Roman"/>
          <w:b/>
          <w:sz w:val="26"/>
        </w:rPr>
        <w:t xml:space="preserve">Trình tự thực hiện: </w:t>
      </w:r>
    </w:p>
    <w:p w14:paraId="07CF5E28" w14:textId="77777777" w:rsidR="00D260C4" w:rsidRDefault="00D260C4">
      <w:pPr>
        <w:shd w:val="clear" w:color="auto" w:fill="F2F6F9"/>
        <w:spacing w:before="120" w:after="0" w:line="276" w:lineRule="auto"/>
        <w:jc w:val="both"/>
      </w:pPr>
    </w:p>
    <w:p w14:paraId="395BDED4" w14:textId="77777777" w:rsidR="00D260C4" w:rsidRDefault="002125D7">
      <w:pPr>
        <w:spacing w:after="0" w:line="276" w:lineRule="auto"/>
        <w:jc w:val="both"/>
      </w:pPr>
      <w:r>
        <w:rPr>
          <w:rFonts w:ascii="Times New Roman" w:eastAsia="Times New Roman" w:hAnsi="Times New Roman" w:cs="Times New Roman"/>
          <w:sz w:val="26"/>
        </w:rPr>
        <w:t>Bước 1: Cơ sở kinh doanh dịch vụ thử thuốc trên lâm sàng và các cơ sở có hoạt động nhận thử thuốc trên lâm sàng không vì mục đích thương mại nộp 01 bộ hồ sơ theo quy định tại Điều 8 Thông tư này kèm phí thẩm định theo quy định của Bộ trưởng Bộ Tài chính về phí thẩm định tiêu chuẩn và điều kiện thử thuốc trên lâm sàng đến Cục Khoa học công nghệ và Đào tạo, Bộ Y tế.</w:t>
      </w:r>
    </w:p>
    <w:p w14:paraId="14802AA2" w14:textId="77777777" w:rsidR="00D260C4" w:rsidRDefault="002125D7">
      <w:pPr>
        <w:spacing w:after="0" w:line="276" w:lineRule="auto"/>
        <w:jc w:val="both"/>
      </w:pPr>
      <w:r>
        <w:rPr>
          <w:rFonts w:ascii="Times New Roman" w:eastAsia="Times New Roman" w:hAnsi="Times New Roman" w:cs="Times New Roman"/>
          <w:sz w:val="26"/>
        </w:rPr>
        <w:t>Bước 1: Cơ sở kinh doanh dịch vụ thử thuốc trên lâm sàng và các cơ sở có hoạt động nhận thử thuốc trên lâm sàng không vì mục đích thương mại nộp 01 bộ hồ sơ theo quy định tại Điều 8 Thông tư này kèm phí thẩm định theo quy định của Bộ trưởng Bộ Tài chính về phí thẩm định tiêu chuẩn và điều kiện thử thuốc trên lâm sàng đến Cục Khoa học công nghệ và Đào tạo, Bộ Y tế.</w:t>
      </w:r>
    </w:p>
    <w:p w14:paraId="13F0447F" w14:textId="77777777" w:rsidR="00D260C4" w:rsidRDefault="002125D7">
      <w:pPr>
        <w:spacing w:after="0" w:line="276" w:lineRule="auto"/>
        <w:jc w:val="both"/>
      </w:pPr>
      <w:r>
        <w:rPr>
          <w:rFonts w:ascii="Times New Roman" w:eastAsia="Times New Roman" w:hAnsi="Times New Roman" w:cs="Times New Roman"/>
          <w:sz w:val="26"/>
        </w:rPr>
        <w:t>Bước 2: Trình tự tiếp nhận và thẩm định hồ sơ thực hiện theo quy định tại: 1. Các khoản 2, 3, 4, 5 và 6 Điều 50 Nghị định số 54/2017/NĐ-CP đối với cơ sở thử thuốc trên lâm sàng thuốc gây nghiện, thuốc hướng thần, thuốc tiền chất, nguyên liệu làm thuốc là dược chất gây nghiện, dược chất hướng thần, tiền chất dùng làm thuốc, thuốc phóng xạ; thuốc dạng phối hợp có chứa dược chất gây nghiện, thuốc dạng phối hợp có chứa dược chất hướng thần, thuốc dạng phối hợp có chứa tiền chất; 2. Các khoản 2, 3, 4 và 5 Điều 5</w:t>
      </w:r>
      <w:r>
        <w:rPr>
          <w:rFonts w:ascii="Times New Roman" w:eastAsia="Times New Roman" w:hAnsi="Times New Roman" w:cs="Times New Roman"/>
          <w:sz w:val="26"/>
        </w:rPr>
        <w:t>1 Nghị định số 54/2017/NĐ-CP đối với cơ sở thử thuốc trên lâm sàng thuốc độc, nguyên liệu độc làm thuốc; thuốc, dược chất trong danh mục thuốc, dược chất thuộc danh mục chất bị cấm sử dụng trong một số ngành, lĩnh vực; 3. Các khoản 2, 4 và 5 Điều 33 Nghị định số 54/2017/NĐ-CP đối với cơ sở không thuộc trường hợp quy định tại điểm a và b khoản này.</w:t>
      </w:r>
    </w:p>
    <w:p w14:paraId="03808618" w14:textId="77777777" w:rsidR="00D260C4" w:rsidRDefault="002125D7">
      <w:pPr>
        <w:spacing w:after="0" w:line="276" w:lineRule="auto"/>
        <w:jc w:val="both"/>
      </w:pPr>
      <w:r>
        <w:rPr>
          <w:rFonts w:ascii="Times New Roman" w:eastAsia="Times New Roman" w:hAnsi="Times New Roman" w:cs="Times New Roman"/>
          <w:sz w:val="26"/>
        </w:rPr>
        <w:t>Bước 3: Trong thời hạn 05 ngày làm việc, kể từ ngày nhận đủ hồ sơ, Cục Khoa học công nghệ và Đào tạo (sau đây gọi là Cơ quan tiếp nhận hồ sơ) thành lập Đoàn đánh giá việc đáp ứng GCP (sau đây gọi là Đoàn đánh giá), thông báo bằng văn bản cho cơ sở thử thuốc trên lâm sàng về Đoàn đánh giá và dự kiến thời gian đánh giá thực tế tại cơ sở. Trong thời hạn 15 ngày, kể từ ngày có văn bản thông báo, Đoàn đánh giá tiến hành đánh giá thực tế tại cơ sở theo quy định tại Điều 10 Thông tư này.</w:t>
      </w:r>
    </w:p>
    <w:p w14:paraId="74A504E8" w14:textId="77777777" w:rsidR="00D260C4" w:rsidRDefault="002125D7">
      <w:pPr>
        <w:spacing w:after="0" w:line="276" w:lineRule="auto"/>
        <w:jc w:val="both"/>
      </w:pPr>
      <w:r>
        <w:rPr>
          <w:rFonts w:ascii="Times New Roman" w:eastAsia="Times New Roman" w:hAnsi="Times New Roman" w:cs="Times New Roman"/>
          <w:sz w:val="26"/>
        </w:rPr>
        <w:lastRenderedPageBreak/>
        <w:t>Bước 4: Quy trình đánh giá việc đáp ứng Thực hành tốt thử thuốc trên lâm sàng: 1. Quy trình đánh giá: a) Đoàn đánh giá công bố Quyết định thành lập Đoàn đánh giá; mục đích, nội dung và kế hoạch đánh giá tại cơ sở thử thuốc trên lâm sàng; b) Cơ sở thử thuốc trên lâm sàng trình bày tóm tắt về tổ chức, nhân sự, hoạt động triển khai, áp dụng GCP hoặc các vấn đề khác theo nội dung đánh giá; c) Đoàn đánh giá tiến hành đánh giá thực tế việc triển khai áp dụng GCP tại cơ sở thử thuốc trên lâm sàng theo từng nội dun</w:t>
      </w:r>
      <w:r>
        <w:rPr>
          <w:rFonts w:ascii="Times New Roman" w:eastAsia="Times New Roman" w:hAnsi="Times New Roman" w:cs="Times New Roman"/>
          <w:sz w:val="26"/>
        </w:rPr>
        <w:t>g đánh giá cụ thể; d) Đoàn đánh giá họp với cơ sở thử thuốc trên lâm sàng để thông báo về mức độ đáp ứng GCP của cơ sở thử thuốc trên lâm sàng theo quy định tại Điều 7 Thông tư này, các nội dung chưa đáp ứng, cần khắc phục, sửa chữa phát hiện được trong quá trình đánh giá (nếu có); thảo luận với cơ sở thử thuốc trên lâm sàng trong trường hợp cơ sở không thống nhất với đánh giá của Đoàn đối với từng nội dung. đ) Lập và ký biên bản đánh giá: Biên bản đánh giá được Lãnh đạo cơ sở thử thuốc trên lâm sàng cùng T</w:t>
      </w:r>
      <w:r>
        <w:rPr>
          <w:rFonts w:ascii="Times New Roman" w:eastAsia="Times New Roman" w:hAnsi="Times New Roman" w:cs="Times New Roman"/>
          <w:sz w:val="26"/>
        </w:rPr>
        <w:t xml:space="preserve">rưởng Đoàn đánh giá ký xác nhận; biên bản phải thể hiện thành phần Đoàn đánh giá, địa điểm, thời gian, phạm vi đánh giá, vấn đề chưa thống nhất (nếu có) giữa Đoàn đánh giá và cơ sở thử thuốc trên lâm sàng liên quan đến việc đánh giá đáp ứng GCP. Biên bản được lập thành 03 bản: 01 bản lưu tại cơ sở thử thuốc trên lâm sàng, 02 bản lưu tại Cơ quan tiếp nhận hồ sơ. 2. Báo cáo đánh giá việc đáp ứng GCP a) Ngay sau khi kết thúc việc đánh giá thực tế tại cơ sở thử thuốc trên lâm sàng, Đoàn đánh giá có trách nhiệm </w:t>
      </w:r>
      <w:r>
        <w:rPr>
          <w:rFonts w:ascii="Times New Roman" w:eastAsia="Times New Roman" w:hAnsi="Times New Roman" w:cs="Times New Roman"/>
          <w:sz w:val="26"/>
        </w:rPr>
        <w:t>lập Báo cáo đánh giá việc đáp ứng GCP theo Mẫu số 02 quy định tại Phụ lục III ban hành kèm theo Thông tư này, liệt kê và phân tích cụ thể các nội dung chưa đáp ứng mà cơ sở thử thuốc trên lâm sàng cần khắc phục, sửa chữa (nếu có) đối chiếu với điều khoản quy định tương ứng của văn bản pháp luật, đánh giá mức độ tuân thủ GCP của cơ sở thử thuốc trên lâm sàng theo quy định tại Điều 7 Thông tư này; b) Trường hợp cơ sở thử thuốc trên lâm sàng có ý kiến không thống nhất với nội dung đánh giá, trong thời hạn 30 n</w:t>
      </w:r>
      <w:r>
        <w:rPr>
          <w:rFonts w:ascii="Times New Roman" w:eastAsia="Times New Roman" w:hAnsi="Times New Roman" w:cs="Times New Roman"/>
          <w:sz w:val="26"/>
        </w:rPr>
        <w:t>gày, kể từ ngày ký biên bản đánh giá, cơ sở thử thuốc trên lâm sàng có văn bản giải trình gửi Cơ quan tiếp nhận hồ sơ kèm theo bằng chứng (hồ sơ tài liệu, hình ảnh, video, giấy chứng nhận) chứng minh liên quan đến nội dung đánh giá đó; c) Trong thời hạn 10 ngày, kể từ ngày nhận được văn bản giải trình của cơ sở thử thuốc trên lâm sàng, Cơ quan tiếp nhận hồ sơ xem xét báo cáo đánh giá GCP, giải trình của cơ sở thử thuốc trên lâm sàng, lấy ý kiến tư vấn chuyên gia trong lĩnh vực có liên quan (nếu cần) và có v</w:t>
      </w:r>
      <w:r>
        <w:rPr>
          <w:rFonts w:ascii="Times New Roman" w:eastAsia="Times New Roman" w:hAnsi="Times New Roman" w:cs="Times New Roman"/>
          <w:sz w:val="26"/>
        </w:rPr>
        <w:t>ăn bản trả lời cơ sở thử thuốc trên lâm sàng. Văn bản trả lời phải nêu rõ nội dung chấp thuận, không chấp thuận đối với giải trình của cơ sở thử thuốc trên lâm sàng. Thời gian này không tính vào thời hạn đánh giá.</w:t>
      </w:r>
    </w:p>
    <w:p w14:paraId="79BA2F57" w14:textId="77777777" w:rsidR="00D260C4" w:rsidRDefault="002125D7">
      <w:pPr>
        <w:spacing w:after="0" w:line="276" w:lineRule="auto"/>
        <w:jc w:val="both"/>
      </w:pPr>
      <w:r>
        <w:rPr>
          <w:rFonts w:ascii="Times New Roman" w:eastAsia="Times New Roman" w:hAnsi="Times New Roman" w:cs="Times New Roman"/>
          <w:sz w:val="26"/>
        </w:rPr>
        <w:t>Bước 5: Xử lý kết quả đánh giá đáp ứng Thực hành tốt thử thuốc trên lâm sàng: 1. Trường hợp báo cáo đánh giá việc đáp ứng GCP kết luận cơ sở thử thuốc trên lâm sàng đáp ứng GCP theo quy định tại khoản 1 Điều 7 Thông tư này: - Trong thời hạn 10 ngày làm việc, kể từ ngày ký biên bản đánh giá, Cơ quan tiếp nhận hồ sơ trình Bộ trưởng Bộ Y tế cấp giấy chứng nhận đủ điều kiện kinh doanh dược và thực hiện cấp giấy chứng nhận đạt GCP theo Mẫu số 03 quy định tại Phụ lục III ban hành kèm theo Thông tư này nếu cơ sở đ</w:t>
      </w:r>
      <w:r>
        <w:rPr>
          <w:rFonts w:ascii="Times New Roman" w:eastAsia="Times New Roman" w:hAnsi="Times New Roman" w:cs="Times New Roman"/>
          <w:sz w:val="26"/>
        </w:rPr>
        <w:t xml:space="preserve">ã có đề nghị trong đơn đề nghị cấp giấy chứng nhận đủ điều kiện kinh doanh dược. Nếu </w:t>
      </w:r>
      <w:r>
        <w:rPr>
          <w:rFonts w:ascii="Times New Roman" w:eastAsia="Times New Roman" w:hAnsi="Times New Roman" w:cs="Times New Roman"/>
          <w:sz w:val="26"/>
        </w:rPr>
        <w:lastRenderedPageBreak/>
        <w:t>cơ sở không đề nghị cấp giấy chứng nhận đạt GCP, báo cáo đánh giá việc đáp ứng GCP kết luận cơ sở thử thuốc trên lâm sàng đáp ứng GCP có giá trị chứng nhận cơ sở thử thuốc trên lâm sàng đạt GCP và được sử dụng làm căn cứ để trình Bộ trưởng Bộ Y tế cấp giấy chứng nhận đủ điều kiện kinh doanh dược hoặc là căn cứ để triển khai hoạt động thử thuốc trên lâm sàng đối với cơ sở thử thuốc trên lâm sàng quy định tại điểm c khoản 1 Đ</w:t>
      </w:r>
      <w:r>
        <w:rPr>
          <w:rFonts w:ascii="Times New Roman" w:eastAsia="Times New Roman" w:hAnsi="Times New Roman" w:cs="Times New Roman"/>
          <w:sz w:val="26"/>
        </w:rPr>
        <w:t>iều 2 Thông tư này. - Trường hợp cơ sở thử thuốc trên lâm sàng có thực hiện việc thử thuốc và kinh doanh thuốc phải kiểm soát đặc biệt, trong thời hạn 20 ngày, kể từ ngày kết thúc việc đánh giá thực tế tại cơ sở thử thuốc trên lâm sàng và ký biên bản đánh giá, nếu cơ sở có đề nghị trong đơn, Cơ quan tiếp nhận hồ sơ thực hiện cấp giấy chứng nhận đạt GCP theo Mẫu số 03 quy định tại Phụ lục III ban hành kèm theo Thông tư này (đồng thời với việc cấp giấy chứng nhận đủ điều kiện kinh doanh dược). 2. Trường hợp b</w:t>
      </w:r>
      <w:r>
        <w:rPr>
          <w:rFonts w:ascii="Times New Roman" w:eastAsia="Times New Roman" w:hAnsi="Times New Roman" w:cs="Times New Roman"/>
          <w:sz w:val="26"/>
        </w:rPr>
        <w:t>áo cáo đánh giá việc đáp ứng GCP kết luận cơ sở thử thuốc trên lâm sàng cần khắc phục, sửa chữa theo quy định tại khoản 2 Điều 7 Thông tư này: a) Trong thời hạn 05 ngày làm việc,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Trường hợp cơ sở thử thuốc trên lâm sàng có thực hiện việc thử thuốc</w:t>
      </w:r>
      <w:r>
        <w:rPr>
          <w:rFonts w:ascii="Times New Roman" w:eastAsia="Times New Roman" w:hAnsi="Times New Roman" w:cs="Times New Roman"/>
          <w:sz w:val="26"/>
        </w:rPr>
        <w:t xml:space="preserve"> và kinh doanh thuốc phải kiểm soát đặc biệt, trong thời hạn 15 ngày,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b) Sau khi hoàn thành việc khắc phục, sửa chữa, cơ sở thử thuốc trên lâm sàng phải có văn bản báo cáo kèm theo bằng chứng (hồ sơ tài liệu, hình ảnh, video, giấy chứng nhận) chứn</w:t>
      </w:r>
      <w:r>
        <w:rPr>
          <w:rFonts w:ascii="Times New Roman" w:eastAsia="Times New Roman" w:hAnsi="Times New Roman" w:cs="Times New Roman"/>
          <w:sz w:val="26"/>
        </w:rPr>
        <w:t>g minh đã hoàn thành việc khắc phục, sửa chữa các nội dung được ghi trong Báo cáo đánh giá; c) Trong thời hạn 20 ngày, kể từ ngày nhận được báo cáo khắc phục, sửa chữa của cơ sở thử thuốc trên lâm sàng, Cơ quan tiếp nhận hồ sơ xem xét báo cáo khắc phục của cơ sở thử thuốc và kết luận về tình trạng đáp ứng GCP của cơ sở thử thuốc trên lâm sàng: - Trường hợp việc khắc phục, sửa chữa của cơ sở thử thuốc trên lâm sàng đã đáp ứng yêu cầu: Cơ quan tiếp nhận hồ sơ thực hiện theo quy định tại khoản 1 Điều này. - Tr</w:t>
      </w:r>
      <w:r>
        <w:rPr>
          <w:rFonts w:ascii="Times New Roman" w:eastAsia="Times New Roman" w:hAnsi="Times New Roman" w:cs="Times New Roman"/>
          <w:sz w:val="26"/>
        </w:rPr>
        <w:t>ường hợp việc khắc phục, sửa chữa của cơ sở thử thuốc trên lâm sàng chưa đáp ứng yêu cầu: Cơ quan tiếp nhận hồ sơ có văn bản yêu cầu tiếp tục khắc phục, sửa chữa, bổ sung cho đến khi đạt yêu cầu. d) Trong thời hạn 06 tháng, kể từ ngày Cơ quan tiếp nhận hồ sơ có văn bản yêu cầu khắc phục, sửa chữa, cơ sở thử thuốc trên lâm sàng phải nộp báo cáo khắc phục, sửa chữa theo yêu cầu. Sau thời hạn trên, cơ sở thử thuốc trên lâm sàng không khắc phục, sửa chữa hoặc sau 12 tháng kể từ ngày nộp hồ sơ đề nghị lần đầu mà</w:t>
      </w:r>
      <w:r>
        <w:rPr>
          <w:rFonts w:ascii="Times New Roman" w:eastAsia="Times New Roman" w:hAnsi="Times New Roman" w:cs="Times New Roman"/>
          <w:sz w:val="26"/>
        </w:rPr>
        <w:t xml:space="preserve"> hồ sơ khắc phục, sửa chữa không đáp ứng yêu cầu thì hồ sơ đã nộp không còn giá trị. 3. Trường hợp báo cáo đánh giá việc đáp ứng GCP kết luận cơ sở thử thuốc trên lâm sàng không đáp ứng GCP theo quy định khoản 3 Điều 7 Thông tư này: Trong thời hạn 05 ngày làm việc, kể từ ngày kết thúc việc đánh giá thực tế tại cơ sở thử thuốc trên lâm sàng và ký biên bản đánh giá, Cơ quan tiếp nhận hồ sơ ban hành văn bản thông báo về việc không đáp ứng GCP gửi kèm theo Báo cáo đánh giá GCP cho cơ sở thử thuốc trên lâm sàng </w:t>
      </w:r>
      <w:r>
        <w:rPr>
          <w:rFonts w:ascii="Times New Roman" w:eastAsia="Times New Roman" w:hAnsi="Times New Roman" w:cs="Times New Roman"/>
          <w:sz w:val="26"/>
        </w:rPr>
        <w:t>và không cấp giấy chứng nhận đạt GCP. 4. Trong thời gian 05 ngày làm việc, kể từ ngày cấp giấy chứng nhận đủ điều kiện kinh doanh dược hoặc chứng nhận cơ sở đạt GCP, Cơ quan tiếp nhận hồ sơ công bố trên Cổng thông tin điện tử của Bộ Y tế và Trang thông tin điện tử của Cơ quan tiếp nhận hồ sơ các thông tin sau đây: a) Tên và địa chỉ cơ sở thử thuốc trên lâm sàng đáp ứng GCP; b) Họ tên người chịu trách nhiệm chuyên môn, số chứng chỉ hành nghề; c) Số giấy chứng nhận đủ điều kiện kinh doanh và số giấy chứng nhậ</w:t>
      </w:r>
      <w:r>
        <w:rPr>
          <w:rFonts w:ascii="Times New Roman" w:eastAsia="Times New Roman" w:hAnsi="Times New Roman" w:cs="Times New Roman"/>
          <w:sz w:val="26"/>
        </w:rPr>
        <w:t>n đạt GCP (nếu có); d) Thời gian hết hiệu lực của việc đánh giá đáp ứng GCP và ngày đánh giá định kỳ tiếp theo; đ) Phạm vi hoạt động của cơ sở thử thuốc trên lâm sàng.</w:t>
      </w:r>
    </w:p>
    <w:p w14:paraId="76B70E92" w14:textId="77777777" w:rsidR="00D260C4" w:rsidRDefault="002125D7">
      <w:pPr>
        <w:spacing w:after="0" w:line="276" w:lineRule="auto"/>
        <w:jc w:val="both"/>
      </w:pPr>
      <w:r>
        <w:rPr>
          <w:rFonts w:ascii="Times New Roman" w:eastAsia="Times New Roman" w:hAnsi="Times New Roman" w:cs="Times New Roman"/>
          <w:sz w:val="26"/>
        </w:rPr>
        <w:t>Bước 6: Cục Khoa học công nghệ và Đào tạo, Bộ Y tế có trách nhiệm đăng tải công khai thông tin về tên, địa chỉ của Hội đồng đạo đức, họ tên Chủ tịch Hội đồng đạo đức và mã số hoạt động của Hội đồng đạo đức trên Trang thông tin điện tử của Cục Khoa học công nghệ và Đào tạo trong vòng 05 ngày làm việc kể từ ngày cấp mã số hoạt động.</w:t>
      </w:r>
    </w:p>
    <w:p w14:paraId="67B6DB84" w14:textId="77777777" w:rsidR="00D260C4" w:rsidRDefault="002125D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53"/>
        <w:gridCol w:w="1396"/>
        <w:gridCol w:w="2472"/>
        <w:gridCol w:w="4204"/>
      </w:tblGrid>
      <w:tr w:rsidR="00D260C4" w14:paraId="161B3BD9" w14:textId="77777777">
        <w:tblPrEx>
          <w:tblCellMar>
            <w:top w:w="0" w:type="dxa"/>
            <w:bottom w:w="0" w:type="dxa"/>
          </w:tblCellMar>
        </w:tblPrEx>
        <w:tc>
          <w:tcPr>
            <w:tcW w:w="1500" w:type="dxa"/>
          </w:tcPr>
          <w:p w14:paraId="6D10471E" w14:textId="77777777" w:rsidR="00D260C4" w:rsidRDefault="00D260C4"/>
          <w:p w14:paraId="248546E1" w14:textId="77777777" w:rsidR="00D260C4" w:rsidRDefault="002125D7">
            <w:pPr>
              <w:spacing w:after="0" w:line="276" w:lineRule="auto"/>
              <w:jc w:val="center"/>
            </w:pPr>
            <w:r>
              <w:rPr>
                <w:rFonts w:ascii="Times New Roman" w:eastAsia="Times New Roman" w:hAnsi="Times New Roman" w:cs="Times New Roman"/>
                <w:b/>
                <w:sz w:val="26"/>
              </w:rPr>
              <w:t>Hình thức nộp</w:t>
            </w:r>
          </w:p>
        </w:tc>
        <w:tc>
          <w:tcPr>
            <w:tcW w:w="2000" w:type="dxa"/>
          </w:tcPr>
          <w:p w14:paraId="27FCFEAE" w14:textId="77777777" w:rsidR="00D260C4" w:rsidRDefault="00D260C4"/>
          <w:p w14:paraId="2FC323FE" w14:textId="77777777" w:rsidR="00D260C4" w:rsidRDefault="002125D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C488563" w14:textId="77777777" w:rsidR="00D260C4" w:rsidRDefault="00D260C4"/>
          <w:p w14:paraId="3532170F" w14:textId="77777777" w:rsidR="00D260C4" w:rsidRDefault="002125D7">
            <w:pPr>
              <w:spacing w:after="0" w:line="276" w:lineRule="auto"/>
              <w:jc w:val="center"/>
            </w:pPr>
            <w:r>
              <w:rPr>
                <w:rFonts w:ascii="Times New Roman" w:eastAsia="Times New Roman" w:hAnsi="Times New Roman" w:cs="Times New Roman"/>
                <w:b/>
                <w:sz w:val="26"/>
              </w:rPr>
              <w:t>Phí, lệ phí</w:t>
            </w:r>
          </w:p>
        </w:tc>
        <w:tc>
          <w:tcPr>
            <w:tcW w:w="3000" w:type="dxa"/>
          </w:tcPr>
          <w:p w14:paraId="5DAB6A19" w14:textId="77777777" w:rsidR="00D260C4" w:rsidRDefault="00D260C4"/>
          <w:p w14:paraId="14121E25" w14:textId="77777777" w:rsidR="00D260C4" w:rsidRDefault="002125D7">
            <w:pPr>
              <w:spacing w:after="0" w:line="276" w:lineRule="auto"/>
              <w:jc w:val="center"/>
            </w:pPr>
            <w:r>
              <w:rPr>
                <w:rFonts w:ascii="Times New Roman" w:eastAsia="Times New Roman" w:hAnsi="Times New Roman" w:cs="Times New Roman"/>
                <w:b/>
                <w:sz w:val="26"/>
              </w:rPr>
              <w:t>Mô tả</w:t>
            </w:r>
          </w:p>
        </w:tc>
      </w:tr>
      <w:tr w:rsidR="00D260C4" w14:paraId="0D640CA4" w14:textId="77777777">
        <w:tblPrEx>
          <w:tblCellMar>
            <w:top w:w="0" w:type="dxa"/>
            <w:bottom w:w="0" w:type="dxa"/>
          </w:tblCellMar>
        </w:tblPrEx>
        <w:tc>
          <w:tcPr>
            <w:tcW w:w="0" w:type="auto"/>
          </w:tcPr>
          <w:p w14:paraId="2DD3B578" w14:textId="77777777" w:rsidR="00D260C4" w:rsidRDefault="00D260C4"/>
          <w:p w14:paraId="2DE59AEE" w14:textId="77777777" w:rsidR="00D260C4" w:rsidRDefault="002125D7">
            <w:pPr>
              <w:spacing w:after="0" w:line="276" w:lineRule="auto"/>
            </w:pPr>
            <w:r>
              <w:rPr>
                <w:rFonts w:ascii="Times New Roman" w:eastAsia="Times New Roman" w:hAnsi="Times New Roman" w:cs="Times New Roman"/>
                <w:sz w:val="26"/>
              </w:rPr>
              <w:t>Trực tiếp</w:t>
            </w:r>
          </w:p>
        </w:tc>
        <w:tc>
          <w:tcPr>
            <w:tcW w:w="0" w:type="auto"/>
          </w:tcPr>
          <w:p w14:paraId="5C756A3C" w14:textId="77777777" w:rsidR="00D260C4" w:rsidRDefault="00D260C4"/>
          <w:p w14:paraId="1F796E78" w14:textId="77777777" w:rsidR="00D260C4" w:rsidRDefault="002125D7">
            <w:pPr>
              <w:spacing w:after="0" w:line="276" w:lineRule="auto"/>
            </w:pPr>
            <w:r>
              <w:rPr>
                <w:rFonts w:ascii="Times New Roman" w:eastAsia="Times New Roman" w:hAnsi="Times New Roman" w:cs="Times New Roman"/>
                <w:sz w:val="26"/>
              </w:rPr>
              <w:t>35 Ngày làm việc</w:t>
            </w:r>
          </w:p>
        </w:tc>
        <w:tc>
          <w:tcPr>
            <w:tcW w:w="0" w:type="auto"/>
          </w:tcPr>
          <w:p w14:paraId="108FAFF0" w14:textId="77777777" w:rsidR="00D260C4" w:rsidRDefault="00D260C4"/>
          <w:p w14:paraId="735D4275" w14:textId="77777777" w:rsidR="00D260C4" w:rsidRDefault="002125D7">
            <w:pPr>
              <w:spacing w:after="0" w:line="276" w:lineRule="auto"/>
            </w:pPr>
            <w:r>
              <w:rPr>
                <w:rFonts w:ascii="Times New Roman" w:eastAsia="Times New Roman" w:hAnsi="Times New Roman" w:cs="Times New Roman"/>
                <w:sz w:val="26"/>
              </w:rPr>
              <w:t>Phí : 30.000.000 Đồng</w:t>
            </w:r>
          </w:p>
        </w:tc>
        <w:tc>
          <w:tcPr>
            <w:tcW w:w="0" w:type="auto"/>
          </w:tcPr>
          <w:p w14:paraId="5BCB6C27" w14:textId="77777777" w:rsidR="00D260C4" w:rsidRDefault="00D260C4"/>
          <w:p w14:paraId="2600F281" w14:textId="77777777" w:rsidR="00D260C4" w:rsidRDefault="002125D7">
            <w:pPr>
              <w:spacing w:after="0" w:line="276" w:lineRule="auto"/>
            </w:pPr>
            <w:r>
              <w:rPr>
                <w:rFonts w:ascii="Times New Roman" w:eastAsia="Times New Roman" w:hAnsi="Times New Roman" w:cs="Times New Roman"/>
                <w:sz w:val="26"/>
              </w:rPr>
              <w:t>35 ngày làm việc kể tử ngày nhận đủ hồ sơ và đáp ứng việc đánh giá</w:t>
            </w:r>
          </w:p>
        </w:tc>
      </w:tr>
      <w:tr w:rsidR="00D260C4" w14:paraId="4775FC3A" w14:textId="77777777">
        <w:tblPrEx>
          <w:tblCellMar>
            <w:top w:w="0" w:type="dxa"/>
            <w:bottom w:w="0" w:type="dxa"/>
          </w:tblCellMar>
        </w:tblPrEx>
        <w:tc>
          <w:tcPr>
            <w:tcW w:w="0" w:type="auto"/>
          </w:tcPr>
          <w:p w14:paraId="5245B7E2" w14:textId="77777777" w:rsidR="00D260C4" w:rsidRDefault="00D260C4"/>
          <w:p w14:paraId="57AC3DCE" w14:textId="77777777" w:rsidR="00D260C4" w:rsidRDefault="002125D7">
            <w:pPr>
              <w:spacing w:after="0" w:line="276" w:lineRule="auto"/>
            </w:pPr>
            <w:r>
              <w:rPr>
                <w:rFonts w:ascii="Times New Roman" w:eastAsia="Times New Roman" w:hAnsi="Times New Roman" w:cs="Times New Roman"/>
                <w:sz w:val="26"/>
              </w:rPr>
              <w:t>Dịch vụ bưu chính</w:t>
            </w:r>
          </w:p>
        </w:tc>
        <w:tc>
          <w:tcPr>
            <w:tcW w:w="0" w:type="auto"/>
          </w:tcPr>
          <w:p w14:paraId="05CBE679" w14:textId="77777777" w:rsidR="00D260C4" w:rsidRDefault="00D260C4"/>
          <w:p w14:paraId="7A55733D" w14:textId="77777777" w:rsidR="00D260C4" w:rsidRDefault="002125D7">
            <w:pPr>
              <w:spacing w:after="0" w:line="276" w:lineRule="auto"/>
            </w:pPr>
            <w:r>
              <w:rPr>
                <w:rFonts w:ascii="Times New Roman" w:eastAsia="Times New Roman" w:hAnsi="Times New Roman" w:cs="Times New Roman"/>
                <w:sz w:val="26"/>
              </w:rPr>
              <w:t>35 Ngày làm việc</w:t>
            </w:r>
          </w:p>
        </w:tc>
        <w:tc>
          <w:tcPr>
            <w:tcW w:w="0" w:type="auto"/>
          </w:tcPr>
          <w:p w14:paraId="3B32EFB5" w14:textId="77777777" w:rsidR="00D260C4" w:rsidRDefault="00D260C4"/>
          <w:p w14:paraId="2C22D908" w14:textId="77777777" w:rsidR="00D260C4" w:rsidRDefault="002125D7">
            <w:pPr>
              <w:spacing w:after="0" w:line="276" w:lineRule="auto"/>
            </w:pPr>
            <w:r>
              <w:rPr>
                <w:rFonts w:ascii="Times New Roman" w:eastAsia="Times New Roman" w:hAnsi="Times New Roman" w:cs="Times New Roman"/>
                <w:sz w:val="26"/>
              </w:rPr>
              <w:t>Phí : 30.000.000 Đồng</w:t>
            </w:r>
          </w:p>
        </w:tc>
        <w:tc>
          <w:tcPr>
            <w:tcW w:w="0" w:type="auto"/>
          </w:tcPr>
          <w:p w14:paraId="4FECDF6C" w14:textId="77777777" w:rsidR="00D260C4" w:rsidRDefault="00D260C4"/>
          <w:p w14:paraId="4D441211" w14:textId="77777777" w:rsidR="00D260C4" w:rsidRDefault="002125D7">
            <w:pPr>
              <w:spacing w:after="0" w:line="276" w:lineRule="auto"/>
            </w:pPr>
            <w:r>
              <w:rPr>
                <w:rFonts w:ascii="Times New Roman" w:eastAsia="Times New Roman" w:hAnsi="Times New Roman" w:cs="Times New Roman"/>
                <w:sz w:val="26"/>
              </w:rPr>
              <w:t>35 ngày làm việc kể tử ngày nhận đủ hồ sơ và đáp ứng việc đánh giá</w:t>
            </w:r>
          </w:p>
        </w:tc>
      </w:tr>
    </w:tbl>
    <w:p w14:paraId="145A260C" w14:textId="77777777" w:rsidR="00D260C4" w:rsidRDefault="002125D7">
      <w:pPr>
        <w:spacing w:before="240" w:after="0" w:line="276" w:lineRule="auto"/>
        <w:jc w:val="both"/>
      </w:pPr>
      <w:r>
        <w:rPr>
          <w:rFonts w:ascii="Times New Roman" w:eastAsia="Times New Roman" w:hAnsi="Times New Roman" w:cs="Times New Roman"/>
          <w:b/>
          <w:sz w:val="26"/>
        </w:rPr>
        <w:t xml:space="preserve">Thành phần hồ sơ: </w:t>
      </w:r>
    </w:p>
    <w:p w14:paraId="61726031" w14:textId="77777777" w:rsidR="00D260C4" w:rsidRDefault="002125D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82"/>
        <w:gridCol w:w="1343"/>
        <w:gridCol w:w="1200"/>
      </w:tblGrid>
      <w:tr w:rsidR="00D260C4" w14:paraId="3297C6DC" w14:textId="77777777">
        <w:tblPrEx>
          <w:tblCellMar>
            <w:top w:w="0" w:type="dxa"/>
            <w:bottom w:w="0" w:type="dxa"/>
          </w:tblCellMar>
        </w:tblPrEx>
        <w:tc>
          <w:tcPr>
            <w:tcW w:w="6000" w:type="dxa"/>
          </w:tcPr>
          <w:p w14:paraId="7BE11CBA" w14:textId="77777777" w:rsidR="00D260C4" w:rsidRDefault="00D260C4"/>
          <w:p w14:paraId="0617FF1D" w14:textId="77777777" w:rsidR="00D260C4" w:rsidRDefault="002125D7">
            <w:pPr>
              <w:spacing w:after="0" w:line="276" w:lineRule="auto"/>
              <w:jc w:val="center"/>
            </w:pPr>
            <w:r>
              <w:rPr>
                <w:rFonts w:ascii="Times New Roman" w:eastAsia="Times New Roman" w:hAnsi="Times New Roman" w:cs="Times New Roman"/>
                <w:b/>
                <w:sz w:val="26"/>
              </w:rPr>
              <w:t>Tên giấy tờ</w:t>
            </w:r>
          </w:p>
        </w:tc>
        <w:tc>
          <w:tcPr>
            <w:tcW w:w="2000" w:type="dxa"/>
          </w:tcPr>
          <w:p w14:paraId="61A2B29B" w14:textId="77777777" w:rsidR="00D260C4" w:rsidRDefault="00D260C4"/>
          <w:p w14:paraId="39AAD18E" w14:textId="77777777" w:rsidR="00D260C4" w:rsidRDefault="002125D7">
            <w:pPr>
              <w:spacing w:after="0" w:line="276" w:lineRule="auto"/>
              <w:jc w:val="center"/>
            </w:pPr>
            <w:r>
              <w:rPr>
                <w:rFonts w:ascii="Times New Roman" w:eastAsia="Times New Roman" w:hAnsi="Times New Roman" w:cs="Times New Roman"/>
                <w:b/>
                <w:sz w:val="26"/>
              </w:rPr>
              <w:t>Mẫu đơn, tờ khai</w:t>
            </w:r>
          </w:p>
        </w:tc>
        <w:tc>
          <w:tcPr>
            <w:tcW w:w="2000" w:type="dxa"/>
          </w:tcPr>
          <w:p w14:paraId="693607FB" w14:textId="77777777" w:rsidR="00D260C4" w:rsidRDefault="00D260C4"/>
          <w:p w14:paraId="58DD0864" w14:textId="77777777" w:rsidR="00D260C4" w:rsidRDefault="002125D7">
            <w:pPr>
              <w:spacing w:after="0" w:line="276" w:lineRule="auto"/>
              <w:jc w:val="center"/>
            </w:pPr>
            <w:r>
              <w:rPr>
                <w:rFonts w:ascii="Times New Roman" w:eastAsia="Times New Roman" w:hAnsi="Times New Roman" w:cs="Times New Roman"/>
                <w:b/>
                <w:sz w:val="26"/>
              </w:rPr>
              <w:t>Số lượng</w:t>
            </w:r>
          </w:p>
        </w:tc>
      </w:tr>
      <w:tr w:rsidR="00D260C4" w14:paraId="4FAC6703" w14:textId="77777777">
        <w:tblPrEx>
          <w:tblCellMar>
            <w:top w:w="0" w:type="dxa"/>
            <w:bottom w:w="0" w:type="dxa"/>
          </w:tblCellMar>
        </w:tblPrEx>
        <w:tc>
          <w:tcPr>
            <w:tcW w:w="0" w:type="auto"/>
          </w:tcPr>
          <w:p w14:paraId="03B4BA4C" w14:textId="77777777" w:rsidR="00D260C4" w:rsidRDefault="00D260C4"/>
          <w:p w14:paraId="475B96F4" w14:textId="77777777" w:rsidR="00D260C4" w:rsidRDefault="002125D7">
            <w:pPr>
              <w:spacing w:after="0" w:line="276" w:lineRule="auto"/>
            </w:pPr>
            <w:r>
              <w:rPr>
                <w:rFonts w:ascii="Times New Roman" w:eastAsia="Times New Roman" w:hAnsi="Times New Roman" w:cs="Times New Roman"/>
                <w:sz w:val="26"/>
              </w:rPr>
              <w:t>Đơn đề nghị đánh giá đáp ứng GCP. Trường hợp cơ sở đề nghị cấp giấy chứng nhận GCP thì phải ghi rõ nội dung này trong đơn; (Mẫu số 01 - Phụ lục III)</w:t>
            </w:r>
          </w:p>
        </w:tc>
        <w:tc>
          <w:tcPr>
            <w:tcW w:w="0" w:type="auto"/>
          </w:tcPr>
          <w:p w14:paraId="1FBAE1F7" w14:textId="77777777" w:rsidR="00D260C4" w:rsidRDefault="00D260C4"/>
          <w:p w14:paraId="5F7B739B" w14:textId="77777777" w:rsidR="00D260C4" w:rsidRDefault="002125D7">
            <w:pPr>
              <w:spacing w:after="0" w:line="276" w:lineRule="auto"/>
            </w:pPr>
            <w:r>
              <w:rPr>
                <w:rFonts w:ascii="Times New Roman" w:eastAsia="Times New Roman" w:hAnsi="Times New Roman" w:cs="Times New Roman"/>
                <w:sz w:val="26"/>
              </w:rPr>
              <w:t>phụ lục.docx</w:t>
            </w:r>
          </w:p>
        </w:tc>
        <w:tc>
          <w:tcPr>
            <w:tcW w:w="0" w:type="auto"/>
          </w:tcPr>
          <w:p w14:paraId="1E0EE7F6" w14:textId="77777777" w:rsidR="00D260C4" w:rsidRDefault="00D260C4"/>
          <w:p w14:paraId="3CE59C5D" w14:textId="77777777" w:rsidR="00D260C4" w:rsidRDefault="002125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60C4" w14:paraId="5E717B86" w14:textId="77777777">
        <w:tblPrEx>
          <w:tblCellMar>
            <w:top w:w="0" w:type="dxa"/>
            <w:bottom w:w="0" w:type="dxa"/>
          </w:tblCellMar>
        </w:tblPrEx>
        <w:tc>
          <w:tcPr>
            <w:tcW w:w="0" w:type="auto"/>
          </w:tcPr>
          <w:p w14:paraId="23F8C604" w14:textId="77777777" w:rsidR="00D260C4" w:rsidRDefault="00D260C4"/>
          <w:p w14:paraId="19D15ED2" w14:textId="77777777" w:rsidR="00D260C4" w:rsidRDefault="002125D7">
            <w:pPr>
              <w:spacing w:after="0" w:line="276" w:lineRule="auto"/>
            </w:pPr>
            <w:r>
              <w:rPr>
                <w:rFonts w:ascii="Times New Roman" w:eastAsia="Times New Roman" w:hAnsi="Times New Roman" w:cs="Times New Roman"/>
                <w:sz w:val="26"/>
              </w:rPr>
              <w:t>Tài liệu kỹ thuật về cơ sở được trình bày theo hướng dẫn về hồ sơ tổng thể (Phụ lục II)</w:t>
            </w:r>
          </w:p>
        </w:tc>
        <w:tc>
          <w:tcPr>
            <w:tcW w:w="0" w:type="auto"/>
          </w:tcPr>
          <w:p w14:paraId="102F7030" w14:textId="77777777" w:rsidR="00D260C4" w:rsidRDefault="00D260C4"/>
          <w:p w14:paraId="06EFA95F" w14:textId="77777777" w:rsidR="00D260C4" w:rsidRDefault="002125D7">
            <w:pPr>
              <w:spacing w:after="0" w:line="276" w:lineRule="auto"/>
            </w:pPr>
            <w:r>
              <w:rPr>
                <w:rFonts w:ascii="Times New Roman" w:eastAsia="Times New Roman" w:hAnsi="Times New Roman" w:cs="Times New Roman"/>
                <w:sz w:val="26"/>
              </w:rPr>
              <w:t>phụ lục (1).docx</w:t>
            </w:r>
          </w:p>
        </w:tc>
        <w:tc>
          <w:tcPr>
            <w:tcW w:w="0" w:type="auto"/>
          </w:tcPr>
          <w:p w14:paraId="33416360" w14:textId="77777777" w:rsidR="00D260C4" w:rsidRDefault="00D260C4"/>
          <w:p w14:paraId="6E8E26C0" w14:textId="77777777" w:rsidR="00D260C4" w:rsidRDefault="002125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29CB38C" w14:textId="77777777" w:rsidR="00D260C4" w:rsidRDefault="002125D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10A0E2F8" w14:textId="77777777" w:rsidR="00D260C4" w:rsidRDefault="002125D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14:paraId="07300729" w14:textId="77777777" w:rsidR="00D260C4" w:rsidRDefault="002125D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88F52CF" w14:textId="77777777" w:rsidR="00D260C4" w:rsidRDefault="002125D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D68C1C5" w14:textId="77777777" w:rsidR="00D260C4" w:rsidRDefault="002125D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6DE4BA2" w14:textId="77777777" w:rsidR="00D260C4" w:rsidRDefault="002125D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90827A6" w14:textId="77777777" w:rsidR="00D260C4" w:rsidRDefault="002125D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đáp ứng Thực hành tốt thử thuốc trên lâm sàng GCP</w:t>
      </w:r>
    </w:p>
    <w:p w14:paraId="68E5BBB5" w14:textId="77777777" w:rsidR="00D260C4" w:rsidRDefault="002125D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3"/>
        <w:gridCol w:w="4959"/>
        <w:gridCol w:w="981"/>
        <w:gridCol w:w="1652"/>
      </w:tblGrid>
      <w:tr w:rsidR="00D260C4" w14:paraId="6F392B93" w14:textId="77777777">
        <w:tblPrEx>
          <w:tblCellMar>
            <w:top w:w="0" w:type="dxa"/>
            <w:bottom w:w="0" w:type="dxa"/>
          </w:tblCellMar>
        </w:tblPrEx>
        <w:tc>
          <w:tcPr>
            <w:tcW w:w="2000" w:type="dxa"/>
          </w:tcPr>
          <w:p w14:paraId="505EF5A1" w14:textId="77777777" w:rsidR="00D260C4" w:rsidRDefault="00D260C4"/>
          <w:p w14:paraId="66020A63" w14:textId="77777777" w:rsidR="00D260C4" w:rsidRDefault="002125D7">
            <w:pPr>
              <w:spacing w:after="0" w:line="276" w:lineRule="auto"/>
              <w:jc w:val="center"/>
            </w:pPr>
            <w:r>
              <w:rPr>
                <w:rFonts w:ascii="Times New Roman" w:eastAsia="Times New Roman" w:hAnsi="Times New Roman" w:cs="Times New Roman"/>
                <w:b/>
                <w:sz w:val="26"/>
              </w:rPr>
              <w:t>Số ký hiệu</w:t>
            </w:r>
          </w:p>
        </w:tc>
        <w:tc>
          <w:tcPr>
            <w:tcW w:w="3500" w:type="dxa"/>
          </w:tcPr>
          <w:p w14:paraId="77555D31" w14:textId="77777777" w:rsidR="00D260C4" w:rsidRDefault="00D260C4"/>
          <w:p w14:paraId="20E509DA" w14:textId="77777777" w:rsidR="00D260C4" w:rsidRDefault="002125D7">
            <w:pPr>
              <w:spacing w:after="0" w:line="276" w:lineRule="auto"/>
              <w:jc w:val="center"/>
            </w:pPr>
            <w:r>
              <w:rPr>
                <w:rFonts w:ascii="Times New Roman" w:eastAsia="Times New Roman" w:hAnsi="Times New Roman" w:cs="Times New Roman"/>
                <w:b/>
                <w:sz w:val="26"/>
              </w:rPr>
              <w:t>Trích yếu</w:t>
            </w:r>
          </w:p>
        </w:tc>
        <w:tc>
          <w:tcPr>
            <w:tcW w:w="1500" w:type="dxa"/>
          </w:tcPr>
          <w:p w14:paraId="0DB7BD26" w14:textId="77777777" w:rsidR="00D260C4" w:rsidRDefault="00D260C4"/>
          <w:p w14:paraId="5CE0232F" w14:textId="77777777" w:rsidR="00D260C4" w:rsidRDefault="002125D7">
            <w:pPr>
              <w:spacing w:after="0" w:line="276" w:lineRule="auto"/>
              <w:jc w:val="center"/>
            </w:pPr>
            <w:r>
              <w:rPr>
                <w:rFonts w:ascii="Times New Roman" w:eastAsia="Times New Roman" w:hAnsi="Times New Roman" w:cs="Times New Roman"/>
                <w:b/>
                <w:sz w:val="26"/>
              </w:rPr>
              <w:t>Ngày ban hành</w:t>
            </w:r>
          </w:p>
        </w:tc>
        <w:tc>
          <w:tcPr>
            <w:tcW w:w="3000" w:type="dxa"/>
          </w:tcPr>
          <w:p w14:paraId="1DB2ADC0" w14:textId="77777777" w:rsidR="00D260C4" w:rsidRDefault="00D260C4"/>
          <w:p w14:paraId="6AC052E6" w14:textId="77777777" w:rsidR="00D260C4" w:rsidRDefault="002125D7">
            <w:pPr>
              <w:spacing w:after="0" w:line="276" w:lineRule="auto"/>
              <w:jc w:val="center"/>
            </w:pPr>
            <w:r>
              <w:rPr>
                <w:rFonts w:ascii="Times New Roman" w:eastAsia="Times New Roman" w:hAnsi="Times New Roman" w:cs="Times New Roman"/>
                <w:b/>
                <w:sz w:val="26"/>
              </w:rPr>
              <w:t>Cơ quan ban hành</w:t>
            </w:r>
          </w:p>
        </w:tc>
      </w:tr>
      <w:tr w:rsidR="00D260C4" w14:paraId="71509DE2" w14:textId="77777777">
        <w:tblPrEx>
          <w:tblCellMar>
            <w:top w:w="0" w:type="dxa"/>
            <w:bottom w:w="0" w:type="dxa"/>
          </w:tblCellMar>
        </w:tblPrEx>
        <w:tc>
          <w:tcPr>
            <w:tcW w:w="0" w:type="auto"/>
          </w:tcPr>
          <w:p w14:paraId="7F49A76D" w14:textId="77777777" w:rsidR="00D260C4" w:rsidRDefault="00D260C4"/>
          <w:p w14:paraId="47A8F8B5" w14:textId="77777777" w:rsidR="00D260C4" w:rsidRDefault="002125D7">
            <w:pPr>
              <w:spacing w:after="0" w:line="276" w:lineRule="auto"/>
            </w:pPr>
            <w:r>
              <w:rPr>
                <w:rFonts w:ascii="Times New Roman" w:eastAsia="Times New Roman" w:hAnsi="Times New Roman" w:cs="Times New Roman"/>
                <w:sz w:val="26"/>
              </w:rPr>
              <w:t>105/2016/QH13</w:t>
            </w:r>
          </w:p>
        </w:tc>
        <w:tc>
          <w:tcPr>
            <w:tcW w:w="0" w:type="auto"/>
          </w:tcPr>
          <w:p w14:paraId="385A1830" w14:textId="77777777" w:rsidR="00D260C4" w:rsidRDefault="00D260C4"/>
          <w:p w14:paraId="735EBA82" w14:textId="77777777" w:rsidR="00D260C4" w:rsidRDefault="002125D7">
            <w:pPr>
              <w:spacing w:after="0" w:line="276" w:lineRule="auto"/>
            </w:pPr>
            <w:r>
              <w:rPr>
                <w:rFonts w:ascii="Times New Roman" w:eastAsia="Times New Roman" w:hAnsi="Times New Roman" w:cs="Times New Roman"/>
                <w:sz w:val="26"/>
              </w:rPr>
              <w:t>Luật 105/2016/QH13 Dược</w:t>
            </w:r>
          </w:p>
        </w:tc>
        <w:tc>
          <w:tcPr>
            <w:tcW w:w="0" w:type="auto"/>
          </w:tcPr>
          <w:p w14:paraId="1425FB99" w14:textId="77777777" w:rsidR="00D260C4" w:rsidRDefault="00D260C4"/>
          <w:p w14:paraId="1031E57E" w14:textId="77777777" w:rsidR="00D260C4" w:rsidRDefault="002125D7">
            <w:pPr>
              <w:spacing w:after="0" w:line="276" w:lineRule="auto"/>
            </w:pPr>
            <w:r>
              <w:rPr>
                <w:rFonts w:ascii="Times New Roman" w:eastAsia="Times New Roman" w:hAnsi="Times New Roman" w:cs="Times New Roman"/>
                <w:sz w:val="26"/>
              </w:rPr>
              <w:t>06-04-2016</w:t>
            </w:r>
          </w:p>
        </w:tc>
        <w:tc>
          <w:tcPr>
            <w:tcW w:w="0" w:type="auto"/>
          </w:tcPr>
          <w:p w14:paraId="653DBC22" w14:textId="77777777" w:rsidR="00D260C4" w:rsidRDefault="00D260C4"/>
          <w:p w14:paraId="0C674862" w14:textId="77777777" w:rsidR="00D260C4" w:rsidRDefault="002125D7">
            <w:pPr>
              <w:spacing w:after="0" w:line="276" w:lineRule="auto"/>
            </w:pPr>
            <w:r>
              <w:rPr>
                <w:rFonts w:ascii="Times New Roman" w:eastAsia="Times New Roman" w:hAnsi="Times New Roman" w:cs="Times New Roman"/>
                <w:sz w:val="26"/>
              </w:rPr>
              <w:t>Quốc Hội</w:t>
            </w:r>
          </w:p>
        </w:tc>
      </w:tr>
      <w:tr w:rsidR="00D260C4" w14:paraId="057345B2" w14:textId="77777777">
        <w:tblPrEx>
          <w:tblCellMar>
            <w:top w:w="0" w:type="dxa"/>
            <w:bottom w:w="0" w:type="dxa"/>
          </w:tblCellMar>
        </w:tblPrEx>
        <w:tc>
          <w:tcPr>
            <w:tcW w:w="0" w:type="auto"/>
          </w:tcPr>
          <w:p w14:paraId="3CC5CF7A" w14:textId="77777777" w:rsidR="00D260C4" w:rsidRDefault="00D260C4"/>
          <w:p w14:paraId="0BB55636" w14:textId="77777777" w:rsidR="00D260C4" w:rsidRDefault="002125D7">
            <w:pPr>
              <w:spacing w:after="0" w:line="276" w:lineRule="auto"/>
            </w:pPr>
            <w:r>
              <w:rPr>
                <w:rFonts w:ascii="Times New Roman" w:eastAsia="Times New Roman" w:hAnsi="Times New Roman" w:cs="Times New Roman"/>
                <w:sz w:val="26"/>
              </w:rPr>
              <w:t>29/2018/TT-BYT</w:t>
            </w:r>
          </w:p>
        </w:tc>
        <w:tc>
          <w:tcPr>
            <w:tcW w:w="0" w:type="auto"/>
          </w:tcPr>
          <w:p w14:paraId="46B915C1" w14:textId="77777777" w:rsidR="00D260C4" w:rsidRDefault="00D260C4"/>
          <w:p w14:paraId="45847989" w14:textId="77777777" w:rsidR="00D260C4" w:rsidRDefault="002125D7">
            <w:pPr>
              <w:spacing w:after="0" w:line="276" w:lineRule="auto"/>
            </w:pPr>
            <w:r>
              <w:rPr>
                <w:rFonts w:ascii="Times New Roman" w:eastAsia="Times New Roman" w:hAnsi="Times New Roman" w:cs="Times New Roman"/>
                <w:sz w:val="26"/>
              </w:rPr>
              <w:t>Thông tư 29/2018/TT-BYT Ban hành Thông tư quy định về thử thuốc trên lâm sàng.</w:t>
            </w:r>
          </w:p>
        </w:tc>
        <w:tc>
          <w:tcPr>
            <w:tcW w:w="0" w:type="auto"/>
          </w:tcPr>
          <w:p w14:paraId="0637503E" w14:textId="77777777" w:rsidR="00D260C4" w:rsidRDefault="00D260C4"/>
          <w:p w14:paraId="130E1B57" w14:textId="77777777" w:rsidR="00D260C4" w:rsidRDefault="002125D7">
            <w:pPr>
              <w:spacing w:after="0" w:line="276" w:lineRule="auto"/>
            </w:pPr>
            <w:r>
              <w:rPr>
                <w:rFonts w:ascii="Times New Roman" w:eastAsia="Times New Roman" w:hAnsi="Times New Roman" w:cs="Times New Roman"/>
                <w:sz w:val="26"/>
              </w:rPr>
              <w:t>29-10-2018</w:t>
            </w:r>
          </w:p>
        </w:tc>
        <w:tc>
          <w:tcPr>
            <w:tcW w:w="0" w:type="auto"/>
          </w:tcPr>
          <w:p w14:paraId="1F3B90A7" w14:textId="77777777" w:rsidR="00D260C4" w:rsidRDefault="00D260C4"/>
          <w:p w14:paraId="4B292B69" w14:textId="77777777" w:rsidR="00D260C4" w:rsidRDefault="002125D7">
            <w:pPr>
              <w:spacing w:after="0" w:line="276" w:lineRule="auto"/>
            </w:pPr>
            <w:r>
              <w:rPr>
                <w:rFonts w:ascii="Times New Roman" w:eastAsia="Times New Roman" w:hAnsi="Times New Roman" w:cs="Times New Roman"/>
                <w:sz w:val="26"/>
              </w:rPr>
              <w:t>Bộ Y tế</w:t>
            </w:r>
          </w:p>
        </w:tc>
      </w:tr>
      <w:tr w:rsidR="00D260C4" w14:paraId="1E6C41F2" w14:textId="77777777">
        <w:tblPrEx>
          <w:tblCellMar>
            <w:top w:w="0" w:type="dxa"/>
            <w:bottom w:w="0" w:type="dxa"/>
          </w:tblCellMar>
        </w:tblPrEx>
        <w:tc>
          <w:tcPr>
            <w:tcW w:w="0" w:type="auto"/>
          </w:tcPr>
          <w:p w14:paraId="32457C61" w14:textId="77777777" w:rsidR="00D260C4" w:rsidRDefault="00D260C4"/>
          <w:p w14:paraId="2EC1705A" w14:textId="77777777" w:rsidR="00D260C4" w:rsidRDefault="002125D7">
            <w:pPr>
              <w:spacing w:after="0" w:line="276" w:lineRule="auto"/>
            </w:pPr>
            <w:r>
              <w:rPr>
                <w:rFonts w:ascii="Times New Roman" w:eastAsia="Times New Roman" w:hAnsi="Times New Roman" w:cs="Times New Roman"/>
                <w:sz w:val="26"/>
              </w:rPr>
              <w:t>54/2017/NĐ-CP</w:t>
            </w:r>
          </w:p>
        </w:tc>
        <w:tc>
          <w:tcPr>
            <w:tcW w:w="0" w:type="auto"/>
          </w:tcPr>
          <w:p w14:paraId="4E0001BD" w14:textId="77777777" w:rsidR="00D260C4" w:rsidRDefault="00D260C4"/>
          <w:p w14:paraId="714F8FB7" w14:textId="77777777" w:rsidR="00D260C4" w:rsidRDefault="002125D7">
            <w:pPr>
              <w:spacing w:after="0" w:line="276" w:lineRule="auto"/>
            </w:pPr>
            <w:r>
              <w:rPr>
                <w:rFonts w:ascii="Times New Roman" w:eastAsia="Times New Roman" w:hAnsi="Times New Roman" w:cs="Times New Roman"/>
                <w:sz w:val="26"/>
              </w:rPr>
              <w:t>Nghị định 54/2017/NĐ-CP Quy định chi tiết một số điều và biện pháp thi hành Luật dược</w:t>
            </w:r>
          </w:p>
        </w:tc>
        <w:tc>
          <w:tcPr>
            <w:tcW w:w="0" w:type="auto"/>
          </w:tcPr>
          <w:p w14:paraId="14495A71" w14:textId="77777777" w:rsidR="00D260C4" w:rsidRDefault="00D260C4"/>
          <w:p w14:paraId="5D1F575F" w14:textId="77777777" w:rsidR="00D260C4" w:rsidRDefault="002125D7">
            <w:pPr>
              <w:spacing w:after="0" w:line="276" w:lineRule="auto"/>
            </w:pPr>
            <w:r>
              <w:rPr>
                <w:rFonts w:ascii="Times New Roman" w:eastAsia="Times New Roman" w:hAnsi="Times New Roman" w:cs="Times New Roman"/>
                <w:sz w:val="26"/>
              </w:rPr>
              <w:t>08-05-2017</w:t>
            </w:r>
          </w:p>
        </w:tc>
        <w:tc>
          <w:tcPr>
            <w:tcW w:w="0" w:type="auto"/>
          </w:tcPr>
          <w:p w14:paraId="1667CBCE" w14:textId="77777777" w:rsidR="00D260C4" w:rsidRDefault="00D260C4"/>
          <w:p w14:paraId="27024DB8" w14:textId="77777777" w:rsidR="00D260C4" w:rsidRDefault="002125D7">
            <w:pPr>
              <w:spacing w:after="0" w:line="276" w:lineRule="auto"/>
            </w:pPr>
            <w:r>
              <w:rPr>
                <w:rFonts w:ascii="Times New Roman" w:eastAsia="Times New Roman" w:hAnsi="Times New Roman" w:cs="Times New Roman"/>
                <w:sz w:val="26"/>
              </w:rPr>
              <w:t>Chính phủ</w:t>
            </w:r>
          </w:p>
        </w:tc>
      </w:tr>
    </w:tbl>
    <w:p w14:paraId="3A2A99EF" w14:textId="77777777" w:rsidR="00D260C4" w:rsidRDefault="002125D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F60486F" w14:textId="77777777" w:rsidR="00D260C4" w:rsidRDefault="002125D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BC77F4C" w14:textId="77777777" w:rsidR="00D260C4" w:rsidRDefault="002125D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https://thutuc.dichvucong.gov.vn/p/home/dvc-tthc-thu-tuc-hanh-chinh-chi-tiet.html?ma_thu_tuc=3333</w:t>
      </w:r>
    </w:p>
    <w:sectPr w:rsidR="00D260C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60C4"/>
    <w:rsid w:val="002125D7"/>
    <w:rsid w:val="00D260C4"/>
    <w:rsid w:val="00E91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2539"/>
  <w15:docId w15:val="{680CBA53-0DDF-49E1-AB8F-B3DCA30B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1782</Words>
  <Characters>10164</Characters>
  <Application>Microsoft Office Word</Application>
  <DocSecurity>0</DocSecurity>
  <Lines>84</Lines>
  <Paragraphs>23</Paragraphs>
  <ScaleCrop>false</ScaleCrop>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