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7B8E" w:rsidRDefault="00E626A3">
      <w:pPr>
        <w:spacing w:after="300" w:line="276" w:lineRule="auto"/>
        <w:jc w:val="center"/>
      </w:pPr>
      <w:r>
        <w:rPr>
          <w:rFonts w:ascii="Times New Roman" w:eastAsia="Times New Roman" w:hAnsi="Times New Roman" w:cs="Times New Roman"/>
          <w:b/>
          <w:sz w:val="26"/>
        </w:rPr>
        <w:t>Chi tiết thủ tục hành chính</w:t>
      </w:r>
    </w:p>
    <w:p w:rsidR="00B27B8E" w:rsidRDefault="00E626A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1.002319</w:t>
      </w:r>
    </w:p>
    <w:p w:rsidR="00B27B8E" w:rsidRDefault="00E626A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7438/QĐ-BYT</w:t>
      </w:r>
    </w:p>
    <w:p w:rsidR="00B27B8E" w:rsidRDefault="00E626A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nghiên cứu thử thuốc trên lâm sàng</w:t>
      </w:r>
    </w:p>
    <w:p w:rsidR="00B27B8E" w:rsidRDefault="00E626A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27B8E" w:rsidRDefault="00E626A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27B8E" w:rsidRDefault="00E626A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B27B8E" w:rsidRDefault="00E626A3">
      <w:pPr>
        <w:spacing w:after="0" w:line="276" w:lineRule="auto"/>
        <w:jc w:val="both"/>
      </w:pPr>
      <w:r>
        <w:rPr>
          <w:rFonts w:ascii="Times New Roman" w:eastAsia="Times New Roman" w:hAnsi="Times New Roman" w:cs="Times New Roman"/>
          <w:b/>
          <w:sz w:val="26"/>
        </w:rPr>
        <w:t xml:space="preserve">Trình tự thực hiện: </w:t>
      </w:r>
    </w:p>
    <w:p w:rsidR="00B27B8E" w:rsidRDefault="00B27B8E">
      <w:pPr>
        <w:shd w:val="clear" w:color="auto" w:fill="F2F6F9"/>
        <w:spacing w:before="120" w:after="0" w:line="276" w:lineRule="auto"/>
        <w:jc w:val="both"/>
      </w:pPr>
    </w:p>
    <w:p w:rsidR="00B27B8E" w:rsidRDefault="00E626A3">
      <w:pPr>
        <w:spacing w:after="0" w:line="276" w:lineRule="auto"/>
        <w:jc w:val="both"/>
      </w:pPr>
      <w:r>
        <w:rPr>
          <w:rFonts w:ascii="Times New Roman" w:eastAsia="Times New Roman" w:hAnsi="Times New Roman" w:cs="Times New Roman"/>
          <w:sz w:val="26"/>
        </w:rPr>
        <w:t>Bước 1: Tổ chức, cá nhân có thuốc thử trên lâm sàng gửi trực tiếp hoặc qua đường bưu điện 01 bộ Hồ sơ đăng ký nghiên cứu thử thuốc trên lâm sàng đến Cục Khoa học công nghệ và Đào tạo, Bộ Y tế.</w:t>
      </w:r>
    </w:p>
    <w:p w:rsidR="00B27B8E" w:rsidRDefault="00E626A3">
      <w:pPr>
        <w:spacing w:after="0" w:line="276" w:lineRule="auto"/>
        <w:jc w:val="both"/>
      </w:pPr>
      <w:r>
        <w:rPr>
          <w:rFonts w:ascii="Times New Roman" w:eastAsia="Times New Roman" w:hAnsi="Times New Roman" w:cs="Times New Roman"/>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tổ chức, cá nhân bổ sung cho đến khi hồ sơ hợp lệ.</w:t>
      </w:r>
    </w:p>
    <w:p w:rsidR="00B27B8E" w:rsidRDefault="00E626A3">
      <w:pPr>
        <w:spacing w:after="0" w:line="276" w:lineRule="auto"/>
        <w:jc w:val="both"/>
      </w:pPr>
      <w:r>
        <w:rPr>
          <w:rFonts w:ascii="Times New Roman" w:eastAsia="Times New Roman" w:hAnsi="Times New Roman" w:cs="Times New Roman"/>
          <w:sz w:val="26"/>
        </w:rPr>
        <w:t>Bước 3: Tổ chức, cá nhân có thuốc thử trên lâm sàng có trách nhiệm phối hợp với Cục Khoa học công nghệ và Đào tạo, Bộ Y tế hoàn thiện hồ sơ trong thời hạn tối đa 60 ngày kể từ ngày nhận được văn bản thông báo. Quá thời hạn này, hồ sơ đã nộp không còn giá trị.</w:t>
      </w:r>
    </w:p>
    <w:p w:rsidR="00B27B8E" w:rsidRDefault="00E626A3">
      <w:pPr>
        <w:spacing w:after="0" w:line="276" w:lineRule="auto"/>
        <w:jc w:val="both"/>
      </w:pPr>
      <w:r>
        <w:rPr>
          <w:rFonts w:ascii="Times New Roman" w:eastAsia="Times New Roman" w:hAnsi="Times New Roman" w:cs="Times New Roman"/>
          <w:sz w:val="26"/>
        </w:rPr>
        <w:t>Bước 4: Trong thời hạn 05 ngày làm việc kể từ ngày nhận đủ hồ sơ hợp lệ, Cục trưởng Cục Khoa học công nghệ và Đào tạo có văn bản chấp thuận nghiên cứu thử thuốc trên lâm sàng theo Mẫu số 13 quy định tại Phụ lục III ban hành kèm theo Thông tư 29/2017/TT-BYT. Trường hợp không chấp thuận phải trả lời bằng văn bản và nêu rõ lý do.</w:t>
      </w:r>
    </w:p>
    <w:p w:rsidR="00B27B8E" w:rsidRDefault="00E626A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4"/>
        <w:gridCol w:w="1646"/>
        <w:gridCol w:w="2707"/>
        <w:gridCol w:w="3454"/>
      </w:tblGrid>
      <w:tr w:rsidR="00B27B8E">
        <w:tblPrEx>
          <w:tblCellMar>
            <w:top w:w="0" w:type="dxa"/>
            <w:bottom w:w="0" w:type="dxa"/>
          </w:tblCellMar>
        </w:tblPrEx>
        <w:tc>
          <w:tcPr>
            <w:tcW w:w="15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Hình thức nộp</w:t>
            </w:r>
          </w:p>
        </w:tc>
        <w:tc>
          <w:tcPr>
            <w:tcW w:w="2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Phí, lệ phí</w:t>
            </w:r>
          </w:p>
        </w:tc>
        <w:tc>
          <w:tcPr>
            <w:tcW w:w="3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Mô tả</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Trực tiếp</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5 Ngày làm việc</w:t>
            </w:r>
          </w:p>
        </w:tc>
        <w:tc>
          <w:tcPr>
            <w:tcW w:w="0" w:type="auto"/>
          </w:tcPr>
          <w:p w:rsidR="00B27B8E" w:rsidRDefault="00B27B8E"/>
          <w:p w:rsidR="00B27B8E" w:rsidRDefault="00B27B8E">
            <w:pPr>
              <w:spacing w:after="0" w:line="276" w:lineRule="auto"/>
            </w:pP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05 ngày làm việc kể tử ngày nhận đủ hồ sơ</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Trực tuyến</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5 Ngày làm việc</w:t>
            </w:r>
          </w:p>
        </w:tc>
        <w:tc>
          <w:tcPr>
            <w:tcW w:w="0" w:type="auto"/>
          </w:tcPr>
          <w:p w:rsidR="00B27B8E" w:rsidRDefault="00B27B8E"/>
          <w:p w:rsidR="00B27B8E" w:rsidRDefault="00B27B8E">
            <w:pPr>
              <w:spacing w:after="0" w:line="276" w:lineRule="auto"/>
            </w:pP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05 ngày làm việc kể tử ngày nhận đủ hồ sơ</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Dịch vụ bưu chính</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5 Ngày làm việc</w:t>
            </w:r>
          </w:p>
        </w:tc>
        <w:tc>
          <w:tcPr>
            <w:tcW w:w="0" w:type="auto"/>
          </w:tcPr>
          <w:p w:rsidR="00B27B8E" w:rsidRDefault="00B27B8E"/>
          <w:p w:rsidR="00B27B8E" w:rsidRDefault="00B27B8E">
            <w:pPr>
              <w:spacing w:after="0" w:line="276" w:lineRule="auto"/>
            </w:pP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05 ngày làm việc kể tử ngày nhận đủ hồ sơ</w:t>
            </w:r>
          </w:p>
        </w:tc>
      </w:tr>
    </w:tbl>
    <w:p w:rsidR="00B27B8E" w:rsidRDefault="00E626A3">
      <w:pPr>
        <w:spacing w:before="240" w:after="0" w:line="276" w:lineRule="auto"/>
        <w:jc w:val="both"/>
      </w:pPr>
      <w:r>
        <w:rPr>
          <w:rFonts w:ascii="Times New Roman" w:eastAsia="Times New Roman" w:hAnsi="Times New Roman" w:cs="Times New Roman"/>
          <w:b/>
          <w:sz w:val="26"/>
        </w:rPr>
        <w:t xml:space="preserve">Thành phần hồ sơ: </w:t>
      </w:r>
    </w:p>
    <w:p w:rsidR="00B27B8E" w:rsidRDefault="00E626A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33"/>
        <w:gridCol w:w="1229"/>
        <w:gridCol w:w="949"/>
      </w:tblGrid>
      <w:tr w:rsidR="00B27B8E">
        <w:tblPrEx>
          <w:tblCellMar>
            <w:top w:w="0" w:type="dxa"/>
            <w:bottom w:w="0" w:type="dxa"/>
          </w:tblCellMar>
        </w:tblPrEx>
        <w:tc>
          <w:tcPr>
            <w:tcW w:w="6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Tên giấy tờ</w:t>
            </w:r>
          </w:p>
        </w:tc>
        <w:tc>
          <w:tcPr>
            <w:tcW w:w="2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Mẫu đơn, tờ khai</w:t>
            </w:r>
          </w:p>
        </w:tc>
        <w:tc>
          <w:tcPr>
            <w:tcW w:w="2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Số lượng</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Đơn đăng ký nghiên cứu thử thuốc trên lâm sàng (Mẫu số 06 – Phụ lục III)</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phụ lục (20).docx</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Hồ sơ thông tin sản phẩm nghiên cứu (thông tin chung về thuốc thử lâm sàng: tên, thành phần, chỉ định, tính chất vật lý, hóa học, bào chế và các thông tin liên quan khác); tài liệu nghiên cứu tiền lâm sàng; tài liệu nghiên cứu thử thuốc trên lâm sàng các giai đoạn trước) bằng tiếng Việt hoặc bằng tiếng Anh kèm theo bản tóm tắt bằng tiếng Việt</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phụ lục (21).docx</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27B8E" w:rsidRDefault="00E626A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B27B8E" w:rsidRDefault="00E626A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B27B8E" w:rsidRDefault="00E626A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27B8E" w:rsidRDefault="00E626A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27B8E" w:rsidRDefault="00E626A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27B8E" w:rsidRDefault="00E626A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27B8E" w:rsidRDefault="00E626A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cho phép</w:t>
      </w:r>
    </w:p>
    <w:p w:rsidR="00B27B8E" w:rsidRDefault="00E626A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41"/>
        <w:gridCol w:w="4898"/>
        <w:gridCol w:w="1003"/>
        <w:gridCol w:w="1669"/>
      </w:tblGrid>
      <w:tr w:rsidR="00B27B8E">
        <w:tblPrEx>
          <w:tblCellMar>
            <w:top w:w="0" w:type="dxa"/>
            <w:bottom w:w="0" w:type="dxa"/>
          </w:tblCellMar>
        </w:tblPrEx>
        <w:tc>
          <w:tcPr>
            <w:tcW w:w="2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Số ký hiệu</w:t>
            </w:r>
          </w:p>
        </w:tc>
        <w:tc>
          <w:tcPr>
            <w:tcW w:w="35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Trích yếu</w:t>
            </w:r>
          </w:p>
        </w:tc>
        <w:tc>
          <w:tcPr>
            <w:tcW w:w="15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Ngày ban hành</w:t>
            </w:r>
          </w:p>
        </w:tc>
        <w:tc>
          <w:tcPr>
            <w:tcW w:w="3000" w:type="dxa"/>
          </w:tcPr>
          <w:p w:rsidR="00B27B8E" w:rsidRDefault="00B27B8E"/>
          <w:p w:rsidR="00B27B8E" w:rsidRDefault="00E626A3">
            <w:pPr>
              <w:spacing w:after="0" w:line="276" w:lineRule="auto"/>
              <w:jc w:val="center"/>
            </w:pPr>
            <w:r>
              <w:rPr>
                <w:rFonts w:ascii="Times New Roman" w:eastAsia="Times New Roman" w:hAnsi="Times New Roman" w:cs="Times New Roman"/>
                <w:b/>
                <w:sz w:val="26"/>
              </w:rPr>
              <w:t>Cơ quan ban hành</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105/2016/QH13</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Luật 105/2016/QH13</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06-04-</w:t>
            </w:r>
            <w:r>
              <w:rPr>
                <w:rFonts w:ascii="Times New Roman" w:eastAsia="Times New Roman" w:hAnsi="Times New Roman" w:cs="Times New Roman"/>
                <w:sz w:val="26"/>
              </w:rPr>
              <w:lastRenderedPageBreak/>
              <w:t>2016</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Quốc Hội</w:t>
            </w:r>
          </w:p>
        </w:tc>
      </w:tr>
      <w:tr w:rsidR="00B27B8E">
        <w:tblPrEx>
          <w:tblCellMar>
            <w:top w:w="0" w:type="dxa"/>
            <w:bottom w:w="0" w:type="dxa"/>
          </w:tblCellMar>
        </w:tblPrEx>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29/2018/TT-BYT</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Thông tư 29/2018/TT-BYT Ban hành Thông tư quy định về thử thuốc trên lâm sàng.</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29-10-2018</w:t>
            </w:r>
          </w:p>
        </w:tc>
        <w:tc>
          <w:tcPr>
            <w:tcW w:w="0" w:type="auto"/>
          </w:tcPr>
          <w:p w:rsidR="00B27B8E" w:rsidRDefault="00B27B8E"/>
          <w:p w:rsidR="00B27B8E" w:rsidRDefault="00E626A3">
            <w:pPr>
              <w:spacing w:after="0" w:line="276" w:lineRule="auto"/>
            </w:pPr>
            <w:r>
              <w:rPr>
                <w:rFonts w:ascii="Times New Roman" w:eastAsia="Times New Roman" w:hAnsi="Times New Roman" w:cs="Times New Roman"/>
                <w:sz w:val="26"/>
              </w:rPr>
              <w:t>Bộ Y tế</w:t>
            </w:r>
          </w:p>
        </w:tc>
      </w:tr>
    </w:tbl>
    <w:p w:rsidR="00B27B8E" w:rsidRDefault="00E626A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B27B8E" w:rsidRDefault="00E626A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27B8E" w:rsidRDefault="00E626A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https://thutuc.dichvucong.gov.vn/p/home/dvc-tthc-thu-tuc-hanh-chinh-chi-tiet.html?ma_thu_tuc=3336</w:t>
      </w:r>
    </w:p>
    <w:sectPr w:rsidR="00B27B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7B8E"/>
    <w:rsid w:val="00037202"/>
    <w:rsid w:val="00B27B8E"/>
    <w:rsid w:val="00E6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D31BF8-9F76-454B-B282-153F191B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