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1.002402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3618/QĐ-BYT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mới số lưu hành đối với trang thiết bị y tế khác thuộc loại C, D</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Thiết bị y tế</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Tổ chức đề nghị cấp số lưu hành nộp hồ sơ cho Bộ Y tế thông qua Hệ thống thông tin giải quyết thủ tục hành chính Bộ Y tế (https://dichvucong.moh.gov.vn) hoặc Cổng thông tin điện tử về quản lý trang thiết bị y tế (https://dmec.moh.gov.vn/).</w:t>
      </w:r>
    </w:p>
    <w:p>
      <w:pPr>
        <w:spacing w:after="0" w:before="0" w:lineRule="auto" w:line="276"/>
        <w:jc w:val="both"/>
      </w:pPr>
      <w:r>
        <w:rPr>
          <w:rFonts w:ascii="Times New Roman" w:hAnsi="Times New Roman" w:cs="Times New Roman" w:eastAsia="Times New Roman"/>
          <w:b w:val="false"/>
          <w:sz w:val="26"/>
        </w:rPr>
        <w:t>Bước 2:  Trường hợp không có yêu cầu sửa đổi, bổ sung hồ sơ đăng ký lưu hành, Bộ trưởng Bộ Y tế có trách nhiệm: Tổ chức thẩm định để cấp số lưu hành trong thời hạn 45 ngày, kể từ ngày nhận được hồ sơ đầy đủ, hợp lệ (bao gồm cả giấy tờ xác nhận đã nộp phí thẩm định cấp giấy phép lưu hành theo quy định của Bộ Tài chính). Trường hợp không cấp số lưu hành phải có văn bản trả lời và nêu rõ lý do.
Trường hợp hồ sơ đăng ký lưu hành chưa hoàn chỉnh thì Bộ Y tế phải thông báo cho tổ chức đề nghị cấp số lưu hành để bổ sung, sửa đổi hồ sơ đăng ký lưu hành, trong đó phải nêu cụ thể là bổ sung những tài liệu nào, nội dung nào cần sửa đổi trong thời hạn 40 ngày, kể từ ngày nhận được hồ sơ đầy đủ, hợp lệ.</w:t>
      </w:r>
    </w:p>
    <w:p>
      <w:pPr>
        <w:spacing w:after="0" w:before="0" w:lineRule="auto" w:line="276"/>
        <w:jc w:val="both"/>
      </w:pPr>
      <w:r>
        <w:rPr>
          <w:rFonts w:ascii="Times New Roman" w:hAnsi="Times New Roman" w:cs="Times New Roman" w:eastAsia="Times New Roman"/>
          <w:b w:val="false"/>
          <w:sz w:val="26"/>
        </w:rPr>
        <w:t>Bước 3: Khi nhận được yêu cầu bổ sung, sửa đổi hồ sơ đề nghị cấp số lưu hành, cơ sở đề nghị cấp số lưu hành phải bổ sung, sửa đổi theo đúng những nội dung đã thông báo và gửi về Bộ Y tế.
Trường hợp cơ sở đề nghị cấp số lưu hành đã bổ sung, sửa đổi hồ sơ nhưng không đúng với yêu cầu thì Bộ Y tế sẽ thông báo cho cơ sở để tiếp tục hoàn chỉnh hồ sơ theo quy định.
Sau 90 ngày, kể từ ngày Bộ Y tế có thông báo yêu cầu mà cơ sở không bổ sung, sửa đổi hồ sơ hoặc nếu sau 03 lần sửa đổi, bổ sung hồ sơ kể từ ngày Bộ Y tế có yêu cầu sửa đổi, bổ sung lần đầu mà hồ sơ vẫn không đáp ứng yêu cầu thì phải thực hiện lại từ đầu thủ tục đề nghị cấp số lưu hành.</w:t>
      </w:r>
    </w:p>
    <w:p>
      <w:pPr>
        <w:spacing w:after="0" w:before="0" w:lineRule="auto" w:line="276"/>
        <w:jc w:val="both"/>
      </w:pPr>
      <w:r>
        <w:rPr>
          <w:rFonts w:ascii="Times New Roman" w:hAnsi="Times New Roman" w:cs="Times New Roman" w:eastAsia="Times New Roman"/>
          <w:b w:val="false"/>
          <w:sz w:val="26"/>
        </w:rPr>
        <w:t>Bước 4: Trong thời hạn 01 ngày làm việc, kể từ ngày cấp số lưu hành, Bộ Y tế có trách nhiệm công khai trên Cổng thông tin điện tử về quản lý trang thiết bị y tế các thông tin sau:
a) Tên, phân loại, cơ sở sản xuất, nước sản xuất trang thiết bị y tế;
b) Số lưu hành của trang thiết bị y tế;
c) Tên, địa chỉ của chủ sở hữu trang thiết bị y tế;
d) Tên, địa chỉ của chủ sở hữu số lưu hành;
đ) Tên, địa chỉ của cơ sở bảo hành trang thiết bị y tế;
e) Các tài liệu trong hồ sơ đăng ký lưu hành của trang thiết bị y tế, trừ  Hồ sơ kỹ thuật chung về trang thiết bị y tế theo quy định của ASEAN.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Trường hợp xử lý ưu tiên: xác định hồ sơ có đủ điều kiện xử lý ưu tiên hay không trong 10 ngày làm việc, kể từ ngày nhận được văn bản đề nghị của cơ sở đăng ký đề nghị ưu tiên xử lý trước hồ sơ đăng ký lưu hành thiết bị y tế và tài liệu kèm theo. Trường hợp đủ điều kiện xử lý ưu tiên, thực hiện xử lý ưu tiên ngay theo quy định.</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45 Ngày làm việc</w:t>
            </w:r>
          </w:p>
        </w:tc>
        <w:tc>
          <w:p/>
          <w:p>
            <w:pPr>
              <w:spacing w:after="0" w:before="0" w:lineRule="auto" w:line="276"/>
              <w:jc w:val="left"/>
            </w:pPr>
            <w:r>
              <w:rPr>
                <w:rFonts w:ascii="Times New Roman" w:hAnsi="Times New Roman" w:cs="Times New Roman" w:eastAsia="Times New Roman"/>
                <w:b w:val="false"/>
                <w:sz w:val="26"/>
              </w:rPr>
              <w:t>Phí : 3.000.000 Đồng</w:t>
              <w:t xml:space="preserve"> (Phí thẩm định hồ sơ đăng ký lưu hành trang thiết bị y tế loại C,D)</w:t>
            </w:r>
          </w:p>
        </w:tc>
        <w:tc>
          <w:p/>
          <w:p>
            <w:pPr>
              <w:spacing w:after="0" w:before="0" w:lineRule="auto" w:line="276"/>
              <w:jc w:val="left"/>
            </w:pPr>
            <w:r>
              <w:rPr>
                <w:rFonts w:ascii="Times New Roman" w:hAnsi="Times New Roman" w:cs="Times New Roman" w:eastAsia="Times New Roman"/>
                <w:b w:val="false"/>
                <w:sz w:val="26"/>
              </w:rPr>
              <w:t>- Trường hợp xử lý bình thường: Sau 45 ngày, kể từ ngày nhận được hồ sơ đầy đủ, hợp lệ (bao gồm cả giấy tờ xác nhận đã nộp phí thẩm định cấp giấy phép lưu hành theo quy định của Bộ Tài chính).</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Trường hợp xử lý ưu tiên: xác định hồ sơ có đủ điều kiện xử lý ưu tiên hay không trong 10 ngày làm việc, kể từ ngày nhận được văn bản đề nghị của cơ sở đăng ký đề nghị ưu tiên xử lý trước hồ sơ đăng ký lưu hành thiết bị y tế và tài liệu kèm theo. Trường hợp đủ điều kiện xử lý ưu tiên, thực hiện xử lý ưu tiên ngay theo quy định.</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Trường hợp xử lý ưu tiên: xác định hồ sơ có đủ điều kiện xử lý ưu tiên hay không trong 10 ngày làm việc, kể từ ngày nhận được văn bản đề nghị của cơ sở đăng ký đề nghị ưu tiên xử lý trước hồ sơ đăng ký lưu hành thiết bị y tế và tài liệu kèm theo. Trường hợp đủ điều kiện xử lý ưu tiên, thực hiện xử lý ưu tiên ngay theo quy định.</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Trường hợp xử lý bình thường</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đề nghị cấp mới số lưu hành đối với trang thiết bị y tế khác thuộc loại C, D theo Mẫu sốVăn bản đề nghị cấp mới số lưu hành đối với trang thiết bị y tế khác thuộc loại C, D theo Mẫu số 03.05 quy định tại Phụ lục I ban hành kèm theo Thông tư 10/2023/TT-BYT.</w:t>
            </w:r>
          </w:p>
        </w:tc>
        <w:tc>
          <w:p/>
          <w:p>
            <w:pPr>
              <w:spacing w:after="0" w:before="0" w:lineRule="auto" w:line="276"/>
              <w:jc w:val="left"/>
            </w:pPr>
            <w:r>
              <w:rPr>
                <w:rFonts w:ascii="Times New Roman" w:hAnsi="Times New Roman" w:cs="Times New Roman" w:eastAsia="Times New Roman"/>
                <w:b w:val="false"/>
                <w:sz w:val="26"/>
              </w:rPr>
              <w:t>Phụ lục I 3.5.docx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chứng nhận đạt tiêu chuẩn quản lý chất lượng ISO 13845 còn hiệu lực tại thời điểm nộp hồ sơ.</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Giấy ủy quyền của chủ sở hữu trang thiết bị y tế cho cơ sở thực hiện việc đăng ký lưu hành theo Mẫu quy định tại Phụ lục VI ban hành kèm theo Thông tư  19/2021/TT-BYT còn hiệu lực tại thời điểm nộp hồ sơ, trừ trường hợp quy định tại điểm a khoản 1 Điều 25 Nghị định 98/2021/NĐ-CP (Doanh nghiệp, hợp tác xã, hộ kinh doanh của Việt Nam là chủ sở hữu trang thiết bị y tế).</w:t>
            </w:r>
          </w:p>
        </w:tc>
        <w:tc>
          <w:p/>
          <w:p>
            <w:pPr>
              <w:spacing w:after="0" w:before="0" w:lineRule="auto" w:line="276"/>
              <w:jc w:val="left"/>
            </w:pPr>
            <w:r>
              <w:rPr>
                <w:rFonts w:ascii="Times New Roman" w:hAnsi="Times New Roman" w:cs="Times New Roman" w:eastAsia="Times New Roman"/>
                <w:b w:val="false"/>
                <w:sz w:val="26"/>
              </w:rPr>
              <w:t>Phụ lục II 2962QĐBYT.docx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Giấy xác nhận đủ điều kiện bảo hành quy định tại phụ lục VII ban hành kèm theo Thông tư 19/2021/TT-BYT do chủ sở hữu trang thiết bị y tế cấp, trừ trường hợp trang thiết bị y tế sử dụng một lần theo quy định của chủ sở hữu trang thiết bị y tế hoặc có tài liệu chứng minh không có chế độ bảo hành.</w:t>
            </w:r>
          </w:p>
        </w:tc>
        <w:tc>
          <w:p/>
          <w:p>
            <w:pPr>
              <w:spacing w:after="0" w:before="0" w:lineRule="auto" w:line="276"/>
              <w:jc w:val="left"/>
            </w:pPr>
            <w:r>
              <w:rPr>
                <w:rFonts w:ascii="Times New Roman" w:hAnsi="Times New Roman" w:cs="Times New Roman" w:eastAsia="Times New Roman"/>
                <w:b w:val="false"/>
                <w:sz w:val="26"/>
              </w:rPr>
              <w:t>Phụ lục III 2962QĐBYT.docx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Giấy lưu hành còn hiệu lực tại thời điểm nộp hồ sơ đối với trang thiết bị y tế nhập khẩu.</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Kết quả thẩm định hồ sơ  kỹ thuật chung về trang thiết bị y tế theo quy định của ASEAN của đơn vị do Bộ trưởng Bộ Y tế chỉ định và Hồ sơ CSDT đối với hồ sơ nộp từ ngày 01/01/2024</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Đối với hồ sơ nộp trước ngày 01/01/2024. - Tài liệu mô tả tóm tắt kỹ thuật trang thiết bị y tế bằng tiếng Việt, kèm theo tài liệu kỹ thuật mô tả chức năng, thông số kỹ thuật của trang thiết bị y tế do chủ sở hữu trang thiết bị y tế ban hành.  Riêng đối với thuốc thử, chất hiệu chuẩn, vật liệu kiểm soát in vitro: tài liệu kỹ thuật bằng tiếng Việt kèm theo tài liệu về nguyên vật liệu, về an toàn của sản phẩm, quy trình sản xuất và kiểm soát chất lượng sản phẩm, các báo cáo nghiên cứu lâm sàng và tiền lâm sàng bao gồm báo cáo độ ổn định. - Tài liệu hướng dẫn sử dụng của trang thiết bị y tế. - Mẫu nhãn sẽ sử dụng khi lưu hành tại Việt Nam của trang thiết bị y tế.</w:t>
            </w:r>
          </w:p>
        </w:tc>
        <w:tc>
          <w:p/>
          <w:p>
            <w:pPr>
              <w:spacing w:after="0" w:before="0" w:lineRule="auto" w:line="276"/>
              <w:jc w:val="left"/>
            </w:pPr>
            <w:r>
              <w:rPr>
                <w:rFonts w:ascii="Times New Roman" w:hAnsi="Times New Roman" w:cs="Times New Roman" w:eastAsia="Times New Roman"/>
                <w:b w:val="false"/>
                <w:sz w:val="26"/>
              </w:rPr>
              <w:t>Phụ lục IV 2962QĐBYT.docx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Đối với trang thiết bị y tế chẩn đoán in vitro là thuốc thử, chất hiệu chuẩn, vật liệu kiểm soát phải có thêm giấy chứng nhận chất lượng do cơ quan có thẩm quyền của Việt Nam cấp.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Đối với hóa chất, chế phẩm chỉ có một mục đích là khử khuẩn trang thiết bị y tế phải có thêm Phiếu kiểm nghiệm thành phần, hàm lượng các chất có hoạt tính khử khuẩn của đơn vị đã công bố đủ điều kiện thực hiện kiểm nghiệm theo quy định của pháp luật về quản lý hóa chất, chế phẩm diệt côn trùng, diệt khuẩn dùng trong lĩnh vực gia dụng và y tế; Phiếu khảo nghiệm đánh giá hiệu lực sinh học của sản phẩm và tác dụng phụ của sản phẩm đối với người tham gia thử nghiệm của đơn vị đã công bố đủ điều kiện thực hiện khảo nghiệm theo quy định của pháp luật về quản lý hóa chất, chế phẩm diệt côn trùng, diệt khuẩn dùng trong lĩnh vực gia dụng và y tế.</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(Yêu cầu đối với một số giấy tờ trong bộ hồ sơ đề nghị cấp mới số lưu hành: a) Đối với giấy chứng nhận đạt tiêu chuẩn quản lý chất lượng: Nộp bản gốc hoặc bản sao có chứng thực hoặc bản sao có xác nhận của cơ sở đề nghị cấp số lưu hành. Trường hợp giấy chứng nhận đạt tiêu chuẩn quản lý chất lượng không bằng tiếng Anh hoặc không bằng tiếng Việt thì phải dịch ra tiếng Việt. Bản dịch phải được chứng thực theo quy định của pháp luật. b) Đối với giấy ủy quyền của chủ sở hữu trang thiết bị y tế và giấy xác nhận cơ sở đủ điều kiện bảo hành:  - Đối với trang thiết bị y tế sản xuất trong nước: Nộp bản gốc hoặc bản sao có chứng thực; - Đối với trang thiết bị y tế nhập khẩu: Nộp bản đã được hợp pháp hóa lãnh sự hoặc bản sao có chứng thực của bản đã được hợp pháp hóa lãnh sự. c) Đối với giấy lưu hành: Nộp bản đã được hợp pháp hóa lãnh sự hoặc bản sao có chứng thực của bản đã được hợp pháp hóa lãnh sự. Trường hợp giấy lưu hành không bằng tiếng Anh hoặc không bằng tiếng Việt thì phải dịch ra tiếng Việt. Bản dịch phải được chứng thực theo quy định của pháp luật. d) Đối với giấy chứng nhận đánh giá chất lượng, phiếu kiểm nghiệm, phiếu khảo nghiệm và kết quả thẩm định hồ sơ CSDT: Nộp bản gốc hoặc bản sao có chứng thực hoặc bản sao có xác nhận của cơ sở đề nghị cấp số lưu hành đ) Đối với hồ sơ CSDT: Nộp bản có xác nhận của tổ chức đề nghị cấp số lưu hành. Trường hợp hồ sơ CSDT không bằng tiếng Anh hoặc không bằng tiếng Việt thì phải dịch ra tiếng Việt. Bản dịch phải được chứng thực theo quy định của pháp luật. e) Đối với tài liệu kỹ thuật của trang thiết bị y tế: Nộp bản có xác nhận của tổ chức đề nghị cấp số lưu hành. - Đối với tài liệu hướng dẫn sử dụng của trang thiết bị y tế: Nộp bản bằng tiếng Việt có xác nhận của tổ chức đề nghị cấp số lưu hành, kèm theo bản gốc bằng tiếng Anh do chủ sở hữu trang thiết bị y tế ban hành đối với trang thiết bị y tế nhập khẩu. - Đối với mẫu nhãn: Nộp bản mẫu nhãn có xác nhận của tổ chức đề nghị cấp số lưu hành. Mẫu nhãn phải đáp ứng các yêu cầu theo quy định của pháp luật về nhãn hàng hóa.)</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hd w:val="clear" w:color="auto" w:fill="F2F6F9"/>
        <w:spacing w:after="0" w:before="120" w:lineRule="auto" w:line="276"/>
        <w:jc w:val="both"/>
      </w:pPr>
      <w:r>
        <w:rPr>
          <w:rFonts w:ascii="Times New Roman" w:hAnsi="Times New Roman" w:cs="Times New Roman" w:eastAsia="Times New Roman"/>
          <w:b w:val="true"/>
          <w:sz w:val="26"/>
        </w:rPr>
        <w:t>Trường hợp xử lý ưu tiên</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đề nghị ưu tiên xử lý trước, trong đó có đủ thông tin về mã hồ sơ đã nộp trên cổng thông tin điện tử của Bộ Y tế</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Tài liệu chứng minh tương ứng đối với các trường hợp quy định tại khoản 1 Điều 32a Nghị định số 98/2021/NĐ-CP (được bổ sung theo quy định tại khoản 21, Điều 147 Nghị định số 96/2023/NĐ-CP ngày 30 tháng 12 năm 2023 của Chính phủ quy định chi tiết một số điều của Luật Khám bệnh, chữa bệnh).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Doanh nghiệp có vốn đầu tư nước ngoài, Tổ chức (không bao gồm doanh nghiệp, HTX),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Hạ tầng và Thiết bị y tế - Bộ Y tế</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Số đăng ký lưu hành trang thiết bị y tế</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98/2021/NĐ-CP</w:t>
            </w:r>
          </w:p>
        </w:tc>
        <w:tc>
          <w:p/>
          <w:p>
            <w:pPr>
              <w:spacing w:after="0" w:before="0" w:lineRule="auto" w:line="276"/>
              <w:jc w:val="left"/>
            </w:pPr>
            <w:r>
              <w:rPr>
                <w:rFonts w:ascii="Times New Roman" w:hAnsi="Times New Roman" w:cs="Times New Roman" w:eastAsia="Times New Roman"/>
                <w:b w:val="false"/>
                <w:sz w:val="26"/>
              </w:rPr>
              <w:t>Nghị định 98/2021/NĐ-CP</w:t>
            </w:r>
          </w:p>
        </w:tc>
        <w:tc>
          <w:p/>
          <w:p>
            <w:pPr>
              <w:spacing w:after="0" w:before="0" w:lineRule="auto" w:line="276"/>
              <w:jc w:val="left"/>
            </w:pPr>
            <w:r>
              <w:rPr>
                <w:rFonts w:ascii="Times New Roman" w:hAnsi="Times New Roman" w:cs="Times New Roman" w:eastAsia="Times New Roman"/>
                <w:b w:val="false"/>
                <w:sz w:val="26"/>
              </w:rPr>
              <w:t>08-11-2021</w:t>
            </w:r>
          </w:p>
        </w:tc>
        <w:tc>
          <w:p/>
        </w:tc>
      </w:tr>
      <w:tr>
        <w:tc>
          <w:p/>
          <w:p>
            <w:pPr>
              <w:spacing w:after="0" w:before="0" w:lineRule="auto" w:line="276"/>
              <w:jc w:val="left"/>
            </w:pPr>
            <w:r>
              <w:rPr>
                <w:rFonts w:ascii="Times New Roman" w:hAnsi="Times New Roman" w:cs="Times New Roman" w:eastAsia="Times New Roman"/>
                <w:b w:val="false"/>
                <w:sz w:val="26"/>
              </w:rPr>
              <w:t>19/2021/TT-BYT</w:t>
            </w:r>
          </w:p>
        </w:tc>
        <w:tc>
          <w:p/>
          <w:p>
            <w:pPr>
              <w:spacing w:after="0" w:before="0" w:lineRule="auto" w:line="276"/>
              <w:jc w:val="left"/>
            </w:pPr>
            <w:r>
              <w:rPr>
                <w:rFonts w:ascii="Times New Roman" w:hAnsi="Times New Roman" w:cs="Times New Roman" w:eastAsia="Times New Roman"/>
                <w:b w:val="false"/>
                <w:sz w:val="26"/>
              </w:rPr>
              <w:t>Thông tư 19/2021/TT-BYT</w:t>
            </w:r>
          </w:p>
        </w:tc>
        <w:tc>
          <w:p/>
          <w:p>
            <w:pPr>
              <w:spacing w:after="0" w:before="0" w:lineRule="auto" w:line="276"/>
              <w:jc w:val="left"/>
            </w:pPr>
            <w:r>
              <w:rPr>
                <w:rFonts w:ascii="Times New Roman" w:hAnsi="Times New Roman" w:cs="Times New Roman" w:eastAsia="Times New Roman"/>
                <w:b w:val="false"/>
                <w:sz w:val="26"/>
              </w:rPr>
              <w:t>16-11-2021</w:t>
            </w:r>
          </w:p>
        </w:tc>
        <w:tc>
          <w:p/>
        </w:tc>
      </w:tr>
      <w:tr>
        <w:tc>
          <w:p/>
          <w:p>
            <w:pPr>
              <w:spacing w:after="0" w:before="0" w:lineRule="auto" w:line="276"/>
              <w:jc w:val="left"/>
            </w:pPr>
            <w:r>
              <w:rPr>
                <w:rFonts w:ascii="Times New Roman" w:hAnsi="Times New Roman" w:cs="Times New Roman" w:eastAsia="Times New Roman"/>
                <w:b w:val="false"/>
                <w:sz w:val="26"/>
              </w:rPr>
              <w:t>07/2023/NĐ-CP</w:t>
            </w:r>
          </w:p>
        </w:tc>
        <w:tc>
          <w:p/>
          <w:p>
            <w:pPr>
              <w:spacing w:after="0" w:before="0" w:lineRule="auto" w:line="276"/>
              <w:jc w:val="left"/>
            </w:pPr>
            <w:r>
              <w:rPr>
                <w:rFonts w:ascii="Times New Roman" w:hAnsi="Times New Roman" w:cs="Times New Roman" w:eastAsia="Times New Roman"/>
                <w:b w:val="false"/>
                <w:sz w:val="26"/>
              </w:rPr>
              <w:t>Nghị định</w:t>
            </w:r>
          </w:p>
        </w:tc>
        <w:tc>
          <w:p/>
          <w:p>
            <w:pPr>
              <w:spacing w:after="0" w:before="0" w:lineRule="auto" w:line="276"/>
              <w:jc w:val="left"/>
            </w:pPr>
            <w:r>
              <w:rPr>
                <w:rFonts w:ascii="Times New Roman" w:hAnsi="Times New Roman" w:cs="Times New Roman" w:eastAsia="Times New Roman"/>
                <w:b w:val="false"/>
                <w:sz w:val="26"/>
              </w:rPr>
              <w:t>03-03-2023</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10/2023/TT-BYT</w:t>
            </w:r>
          </w:p>
        </w:tc>
        <w:tc>
          <w:p/>
          <w:p>
            <w:pPr>
              <w:spacing w:after="0" w:before="0" w:lineRule="auto" w:line="276"/>
              <w:jc w:val="left"/>
            </w:pPr>
            <w:r>
              <w:rPr>
                <w:rFonts w:ascii="Times New Roman" w:hAnsi="Times New Roman" w:cs="Times New Roman" w:eastAsia="Times New Roman"/>
                <w:b w:val="false"/>
                <w:sz w:val="26"/>
              </w:rPr>
              <w:t>Thông tư 10/2023/TT-BYT sửa đổi Thông tư 19/2021/TT-BYT</w:t>
            </w:r>
          </w:p>
        </w:tc>
        <w:tc>
          <w:p/>
          <w:p>
            <w:pPr>
              <w:spacing w:after="0" w:before="0" w:lineRule="auto" w:line="276"/>
              <w:jc w:val="left"/>
            </w:pPr>
            <w:r>
              <w:rPr>
                <w:rFonts w:ascii="Times New Roman" w:hAnsi="Times New Roman" w:cs="Times New Roman" w:eastAsia="Times New Roman"/>
                <w:b w:val="false"/>
                <w:sz w:val="26"/>
              </w:rPr>
              <w:t>11-05-2023</w:t>
            </w:r>
          </w:p>
        </w:tc>
        <w:tc>
          <w:p/>
          <w:p>
            <w:pPr>
              <w:spacing w:after="0" w:before="0" w:lineRule="auto" w:line="276"/>
              <w:jc w:val="left"/>
            </w:pPr>
            <w:r>
              <w:rPr>
                <w:rFonts w:ascii="Times New Roman" w:hAnsi="Times New Roman" w:cs="Times New Roman" w:eastAsia="Times New Roman"/>
                <w:b w:val="false"/>
                <w:sz w:val="26"/>
              </w:rPr>
              <w:t>Bộ trưởng Bộ Y tế</w:t>
            </w:r>
          </w:p>
        </w:tc>
      </w:tr>
      <w:tr>
        <w:tc>
          <w:p/>
          <w:p>
            <w:pPr>
              <w:spacing w:after="0" w:before="0" w:lineRule="auto" w:line="276"/>
              <w:jc w:val="left"/>
            </w:pPr>
            <w:r>
              <w:rPr>
                <w:rFonts w:ascii="Times New Roman" w:hAnsi="Times New Roman" w:cs="Times New Roman" w:eastAsia="Times New Roman"/>
                <w:b w:val="false"/>
                <w:sz w:val="26"/>
              </w:rPr>
              <w:t>59/2023/TT- BTC</w:t>
            </w:r>
          </w:p>
        </w:tc>
        <w:tc>
          <w:p/>
          <w:p>
            <w:pPr>
              <w:spacing w:after="0" w:before="0" w:lineRule="auto" w:line="276"/>
              <w:jc w:val="left"/>
            </w:pPr>
            <w:r>
              <w:rPr>
                <w:rFonts w:ascii="Times New Roman" w:hAnsi="Times New Roman" w:cs="Times New Roman" w:eastAsia="Times New Roman"/>
                <w:b w:val="false"/>
                <w:sz w:val="26"/>
              </w:rPr>
              <w:t>Thông tư số 59/2023/TT- BTC ngày 30/8/2023 của Bộ trưởng Bộ Tài chính về quy định mức thu, chế độ thu, nộp, quản lý và sử dụng phí trong lĩnh vực y tế</w:t>
            </w:r>
          </w:p>
        </w:tc>
        <w:tc>
          <w:p/>
          <w:p>
            <w:pPr>
              <w:spacing w:after="0" w:before="0" w:lineRule="auto" w:line="276"/>
              <w:jc w:val="left"/>
            </w:pPr>
            <w:r>
              <w:rPr>
                <w:rFonts w:ascii="Times New Roman" w:hAnsi="Times New Roman" w:cs="Times New Roman" w:eastAsia="Times New Roman"/>
                <w:b w:val="false"/>
                <w:sz w:val="26"/>
              </w:rPr>
              <w:t>30-08-2023</w:t>
            </w:r>
          </w:p>
        </w:tc>
        <w:tc>
          <w:p/>
        </w:tc>
      </w:tr>
      <w:tr>
        <w:tc>
          <w:p/>
          <w:p>
            <w:pPr>
              <w:spacing w:after="0" w:before="0" w:lineRule="auto" w:line="276"/>
              <w:jc w:val="left"/>
            </w:pPr>
            <w:r>
              <w:rPr>
                <w:rFonts w:ascii="Times New Roman" w:hAnsi="Times New Roman" w:cs="Times New Roman" w:eastAsia="Times New Roman"/>
                <w:b w:val="false"/>
                <w:sz w:val="26"/>
              </w:rPr>
              <w:t>96/2023/NĐ-CP</w:t>
            </w:r>
          </w:p>
        </w:tc>
        <w:tc>
          <w:p/>
          <w:p>
            <w:pPr>
              <w:spacing w:after="0" w:before="0" w:lineRule="auto" w:line="276"/>
              <w:jc w:val="left"/>
            </w:pPr>
            <w:r>
              <w:rPr>
                <w:rFonts w:ascii="Times New Roman" w:hAnsi="Times New Roman" w:cs="Times New Roman" w:eastAsia="Times New Roman"/>
                <w:b w:val="false"/>
                <w:sz w:val="26"/>
              </w:rPr>
              <w:t>Nghị định số 96/2023/NĐ-CP ngày 30 tháng 12 năm 2023 của Chính phủ quy định chi tiết một số điều của Luật Khám bệnh, chữa bệnh.</w:t>
            </w:r>
          </w:p>
        </w:tc>
        <w:tc>
          <w:p/>
          <w:p>
            <w:pPr>
              <w:spacing w:after="0" w:before="0" w:lineRule="auto" w:line="276"/>
              <w:jc w:val="left"/>
            </w:pPr>
            <w:r>
              <w:rPr>
                <w:rFonts w:ascii="Times New Roman" w:hAnsi="Times New Roman" w:cs="Times New Roman" w:eastAsia="Times New Roman"/>
                <w:b w:val="false"/>
                <w:sz w:val="26"/>
              </w:rPr>
              <w:t>30-12-2023</w:t>
            </w:r>
          </w:p>
        </w:tc>
        <w:tc>
          <w:p/>
        </w:tc>
      </w:tr>
      <w:tr>
        <w:tc>
          <w:p/>
          <w:p>
            <w:pPr>
              <w:spacing w:after="0" w:before="0" w:lineRule="auto" w:line="276"/>
              <w:jc w:val="left"/>
            </w:pPr>
            <w:r>
              <w:rPr>
                <w:rFonts w:ascii="Times New Roman" w:hAnsi="Times New Roman" w:cs="Times New Roman" w:eastAsia="Times New Roman"/>
                <w:b w:val="false"/>
                <w:sz w:val="26"/>
              </w:rPr>
              <w:t>64/2025/TT-BTC</w:t>
            </w:r>
          </w:p>
        </w:tc>
        <w:tc>
          <w:p/>
          <w:p>
            <w:pPr>
              <w:spacing w:after="0" w:before="0" w:lineRule="auto" w:line="276"/>
              <w:jc w:val="left"/>
            </w:pPr>
            <w:r>
              <w:rPr>
                <w:rFonts w:ascii="Times New Roman" w:hAnsi="Times New Roman" w:cs="Times New Roman" w:eastAsia="Times New Roman"/>
                <w:b w:val="false"/>
                <w:sz w:val="26"/>
              </w:rPr>
              <w:t>Thông tư số 64/2025/TT-BTC ngày 30/6/2025 của Bộ trưởng Bộ Tài chính quy định mức thu, miễn một số khoản phí, lệ phí nhằm hỗ trợ doanh nghiệp, người dân</w:t>
            </w:r>
          </w:p>
        </w:tc>
        <w:tc>
          <w:p/>
          <w:p>
            <w:pPr>
              <w:spacing w:after="0" w:before="0" w:lineRule="auto" w:line="276"/>
              <w:jc w:val="left"/>
            </w:pPr>
            <w:r>
              <w:rPr>
                <w:rFonts w:ascii="Times New Roman" w:hAnsi="Times New Roman" w:cs="Times New Roman" w:eastAsia="Times New Roman"/>
                <w:b w:val="false"/>
                <w:sz w:val="26"/>
              </w:rPr>
              <w:t>30-06-2025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Yêu cầu đối với một số giấy tờ trong bộ hồ sơ đề nghị cấp mới số lưu hành:
a) Đối với giấy chứng nhận đạt tiêu chuẩn quản lý chất lượng: Nộp bản gốc hoặc bản sao có chứng thực hoặc bản sao có xác nhận của cơ sở đề nghị cấp số lưu hành.
Trường hợp giấy chứng nhận đạt tiêu chuẩn quản lý chất lượng không bằng tiếng Anh hoặc không bằng tiếng Việt thì phải dịch ra tiếng Việt. Bản dịch phải được chứng thực theo quy định của pháp luật.
b) Đối với giấy ủy quyền của chủ sở hữu thiết bị y tế và giấy xác nhận cơ sở đủ điều kiện bảo hành: 
- Đối với thiết bị y tế sản xuất trong nước: Nộp bản gốc hoặc bản sao có chứng thực;
- Đối với thiết bị y tế nhập khẩu: Nộp bản đã được hợp pháp hóa lãnh sự hoặc bản sao có chứng thực của bản đã được hợp pháp hóa lãnh sự.
c) Đối với giấy lưu hành: Nộp bản đã được hợp pháp hóa lãnh sự hoặc bản sao có chứng thực của bản đã được hợp pháp hóa lãnh sự.
Trường hợp giấy lưu hành không bằng tiếng Anh hoặc không bằng tiếng Việt thì phải dịch ra tiếng Việt. Bản dịch phải được chứng thực theo quy định của pháp luật.
d) Đối với giấy chứng nhận đánh giá chất lượng, phiếu kiểm nghiệm, phiếu khảo nghiệm và kết quả thẩm định hồ sơ CSDT: Nộp bản gốc hoặc bản sao có chứng thực hoặc bản sao có xác nhận của cơ sở đề nghị cấp số lưu hành
đ) Đối với hồ sơ CSDT: Nộp bản có xác nhận của tổ chức đề nghị cấp số lưu hành. Trường hợp hồ sơ CSDT không bằng tiếng Anh hoặc không bằng tiếng Việt thì phải dịch ra tiếng Việt. Bản dịch phải được chứng thực theo quy định của pháp luật.
e) Đối với tài liệu kỹ thuật của thiết bị y tế: Nộp bản có xác nhận của tổ chức đề nghị cấp số lưu hành.
- Đối với tài liệu hướng dẫn sử dụng của thiết bị y tế: Nộp bản bằng tiếng Việt có xác nhận của tổ chức đề nghị cấp số lưu hành, kèm theo bản gốc bằng tiếng Anh do chủ sở hữu thiết bị y tế ban hành đối với thiết bị y tế nhập khẩu.
- Đối với mẫu nhãn: Nộp bản mẫu nhãn có xác nhận của tổ chức đề nghị cấp số lưu hành. Mẫu nhãn phải đáp ứng các yêu cầu theo quy định của pháp luật về nhãn hàng hóa.
Điều 25 Nghị định số 98/2021/NĐ-CP: Điều kiện của tổ chức được đứng tên công bố tiêu chuẩn áp dụng hoặc đăng ký lưu hành thiết bị y tế
1. Tổ chức được đứng tên công bố tiêu chuẩn áp dụng hoặc đăng ký lưu hành thiết bị y tế bao gồm:
a) Doanh nghiệp, hợp tác xã, hộ kinh doanh của Việt Nam là chủ sở hữu thiết bị y tế;
b) Doanh nghiệp, hợp tác xã, hộ kinh doanh của Việt Nam được ủy quyền của chủ sở hữu thiết bị y tế;
c) Văn phòng đại diện thường trú tại Việt Nam của thương nhân nước ngoài mà thương nhân đó là chủ sở hữu thiết bị y tế hoặc được ủy quyền của chủ sở hữu thiết bị y tế.
2. Tổ chức đứng tên công bố tiêu chuẩn áp dụng hoặc đăng ký lưu hành thiết bị y tế phải có cơ sở bảo hành tại Việt Nam hoặc phải có hợp đồng với tổ chức đủ năng lực bảo hành thiết bị y tế, trừ trường hợp các thiết bị y tế sử dụng một lần theo quy định của chủ sở hữu thiết bị y tế hoặc có tài liệu chứng minh không có chế độ bảo hành.
Trường hợp tổ chức đứng tên công bố tiêu chuẩn áp dụng hoặc đăng ký lưu hành thiết bị y tế thuộc quy định tại điểm c khoản 1 Điều này thì chủ sở hữu thiết bị y tế phải có cơ sở bảo hành tại Việt Nam hoặc phải có hợp đồng với cơ sở đủ năng lực bảo hành thiết bị y tế, trừ trường hợp các thiết bị y tế sử dụng một lần theo quy định của chủ sở hữu thiết bị y tế hoặc có tài liệu chứng minh không có chế độ bảo hành.
Cơ sở bảo hành phải được chủ sở hữu thiết bị y tế chứng nhận đủ năng lực bảo hành sản phẩm.
Điều kiện để hồ sơ được xử lý ưu tiên:
Điều 32a. Ưu tiên xử lý hồ sơ đăng ký lưu hành thiết bị y tế
1. Cho phép ưu tiên xử lý trước đối với hồ sơ đăng ký lưu hành thiết bị y tế thuộc một trong các trường hợp sau đây:
a) Thiết bị y tế được sản xuất trong nước;
b) Thiết bị y tế nhập khẩu đã nộp hồ sơ đề nghị cấp giấy phép nhập khẩu thiết bị y tế về Bộ Y tế trước ngày 01 tháng 01 năm 2022 nhưng chưa được cấp giấy phép nhập khẩu và đã nộp hồ sơ đề nghị cấp giấy chứng nhận đăng ký lưu hành thiết bị y tế;
c) Hóa chất, chế phẩm chỉ có một mục đích là khử khuẩn thiết bị y tế;
d) Thiết bị y tế để thực hiện kỹ thuật mới, phương pháp mới áp dụng trong khám bệnh, chữa bệnh đã được Bộ Y tế có văn bản cho phép áp dụng chính thức nhưng chưa được cấp số lưu hành tại Việt Nam;
đ) Thiết bị y tế không thay đổi thông tin về chủng loại, mã sản phẩm trên giấy phép nhập khẩu hoặc quyết định cấp số đăng ký lưu hành hoặc giấy chứng nhận đăng ký lưu hành đã cấp còn hiệu lực nhưng thuộc một trong các trường hợp sau:
- Thay đổi về cơ sở nhập khẩu hoặc đơn vị đăng ký lưu hành;
- Thay đổi tên gọi của cơ sở sản xuất nhưng không thay đổi địa chỉ của cơ sở sản xuất;
- Thay đổi tên gọi của chủ sở hữu thiết bị y tế nhưng không thay đổi địa chỉ của chủ sở hữu thiết bị y tế;
e) Thiết bị y tế không thay đổi thông tin về chủng loại nhưng có thay đổi thông tin về mã sản phẩm do mã sản phẩm cũ đã ngừng sản xuất trên một trong các giấy tờ sau: giấy phép nhập khẩu hoặc quyết định cấp số đăng ký lưu hành hoặc giấy chứng nhận đăng ký lưu hành đã cấp còn hiệu lực;
g) Hồ sơ đăng ký lưu hành thiết bị y tế trước đó đã có văn bản yêu cầu bổ sung hoặc văn bản từ chối cấp phép của Bộ Y tế mà nội dung của văn bản chỉ liên quan đến yêu cầu cập nhật hiệu lực của một trong các giấy tờ sau: giấy ủy quyền của chủ sở hữu số lưu hành thiết bị y tế, giấy chứng nhận đạt tiêu chuẩn quản lý chất lượng ISO 13485, giấy lưu hành thiết bị y tế;
h) Hồ sơ đăng ký lưu hành thiết bị y tế trước đó đã có văn bản yêu cầu bổ sung hoặc văn bản từ chối cấp phép của Bộ Y tế mà nội dung của văn bản chỉ yêu cầu về sửa đổi, bổ sung tên gọi của thiết bị y tế.</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https://thutuc.dichvucong.gov.vn/p/home/dvc-tthc-thu-tuc-hanh-chinh-chi-tiet.html?ma_thu_tuc=3440</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2025-12-02T12:11:29Z</dcterms:created>
  <dc:creator>Apache POI</dc:creator>
</cp:coreProperties>
</file>