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1EE5" w:rsidRDefault="00C656C3">
      <w:pPr>
        <w:spacing w:after="300" w:line="276" w:lineRule="auto"/>
        <w:jc w:val="center"/>
      </w:pPr>
      <w:r>
        <w:rPr>
          <w:rFonts w:ascii="Times New Roman" w:eastAsia="Times New Roman" w:hAnsi="Times New Roman" w:cs="Times New Roman"/>
          <w:b/>
          <w:sz w:val="26"/>
        </w:rPr>
        <w:t>Chi tiết thủ tục hành chính</w:t>
      </w:r>
    </w:p>
    <w:p w:rsidR="00D41EE5" w:rsidRDefault="00C656C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1.002467</w:t>
      </w:r>
    </w:p>
    <w:p w:rsidR="00D41EE5" w:rsidRDefault="00C656C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D41EE5" w:rsidRDefault="00C656C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cung cấp dịch vụ diệt côn trùng, diệt khuẩn trong lĩnh vực gia dụng và y tế bằng chế phẩm</w:t>
      </w:r>
    </w:p>
    <w:p w:rsidR="00D41EE5" w:rsidRDefault="00C656C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41EE5" w:rsidRDefault="00C656C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41EE5" w:rsidRDefault="00C656C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D41EE5" w:rsidRDefault="00C656C3">
      <w:pPr>
        <w:spacing w:after="0" w:line="276" w:lineRule="auto"/>
        <w:jc w:val="both"/>
      </w:pPr>
      <w:r>
        <w:rPr>
          <w:rFonts w:ascii="Times New Roman" w:eastAsia="Times New Roman" w:hAnsi="Times New Roman" w:cs="Times New Roman"/>
          <w:b/>
          <w:sz w:val="26"/>
        </w:rPr>
        <w:t xml:space="preserve">Trình tự thực hiện: </w:t>
      </w:r>
    </w:p>
    <w:p w:rsidR="00D41EE5" w:rsidRDefault="00D41EE5">
      <w:pPr>
        <w:shd w:val="clear" w:color="auto" w:fill="F2F6F9"/>
        <w:spacing w:before="120" w:after="0" w:line="276" w:lineRule="auto"/>
        <w:jc w:val="both"/>
      </w:pPr>
    </w:p>
    <w:p w:rsidR="00D41EE5" w:rsidRDefault="00C656C3">
      <w:pPr>
        <w:spacing w:after="0" w:line="276" w:lineRule="auto"/>
        <w:jc w:val="both"/>
      </w:pPr>
      <w:r>
        <w:rPr>
          <w:rFonts w:ascii="Times New Roman" w:eastAsia="Times New Roman" w:hAnsi="Times New Roman" w:cs="Times New Roman"/>
          <w:sz w:val="26"/>
        </w:rPr>
        <w:t>Bước 1: Cơ sở cung cấp dịch vụ nộp hồ sơ đến Sở Y tế nơi cơ sở đặt trụ sở. Bước 2: Trong thời hạn 03 ngày làm việc, kể từ ngày tiếp nhận hồ sơ công bố của cơ sở cung cấp dịch vụ, Sở Y tế có trách nhiệm công khai trên trang thông tin điện tử của Sở Y tế các thông tin: tên, địa chỉ, số điện thoại liên hệ của cơ sở cung cấp dịch vụ. Trường hợp có thay đổi về tên, địa chỉ của cơ sở cung cấp dịch vụ: trong thời hạn 15 ngày, cơ sở cung cấp dịch vụ có trách nhiệm gửi thông báo thông tin thay đổi đến Sở Y tế. Trong</w:t>
      </w:r>
      <w:r>
        <w:rPr>
          <w:rFonts w:ascii="Times New Roman" w:eastAsia="Times New Roman" w:hAnsi="Times New Roman" w:cs="Times New Roman"/>
          <w:sz w:val="26"/>
        </w:rPr>
        <w:t xml:space="preserve"> thời hạn 03 ngày làm việc, Sở Y tế có trách nhiệm cập nhật trên trang thông tin điện tử của Sở Y tế. Hằng năm, cơ sở cung cấp dịch vụ có trách nhiệm gửi thông báo các thay đổi khác (nếu có) ngoài các thay đổi được quy định tại khoản này đến Sở Y tế nơi cơ sở đặt trụ sở để cập nhật thông tin. Trong thời hạn 03 ngày làm việc, kể từ ngày nhận được thông báo của cơ sở cung cấp dịch vụ, Sở Y tế nơi cơ sở đặt trụ sở có trách nhiệm cập nhật thông tin trên trang thông tin điện tử của Sở Y tế.</w:t>
      </w:r>
    </w:p>
    <w:p w:rsidR="00D41EE5" w:rsidRDefault="00C656C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66"/>
        <w:gridCol w:w="1508"/>
        <w:gridCol w:w="2546"/>
        <w:gridCol w:w="3891"/>
      </w:tblGrid>
      <w:tr w:rsidR="00D41EE5">
        <w:tblPrEx>
          <w:tblCellMar>
            <w:top w:w="0" w:type="dxa"/>
            <w:bottom w:w="0" w:type="dxa"/>
          </w:tblCellMar>
        </w:tblPrEx>
        <w:tc>
          <w:tcPr>
            <w:tcW w:w="15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Hình thức nộp</w:t>
            </w:r>
          </w:p>
        </w:tc>
        <w:tc>
          <w:tcPr>
            <w:tcW w:w="2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Phí, lệ phí</w:t>
            </w:r>
          </w:p>
        </w:tc>
        <w:tc>
          <w:tcPr>
            <w:tcW w:w="3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Mô tả</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Trực tiếp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3 Ngày làm việc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Phí : 150.000 Đồng</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Trực tuyến</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3 Ngày làm việc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Phí : 150.000 Đồng</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Dịch vụ bưu chính</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3 Ngày làm việc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Phí : 150.000 Đồng</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03 ngày làm việc kể từ ngày nhận được đủ hồ sơ hợp lệ</w:t>
            </w:r>
          </w:p>
        </w:tc>
      </w:tr>
    </w:tbl>
    <w:p w:rsidR="00D41EE5" w:rsidRDefault="00C656C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D41EE5" w:rsidRDefault="00C656C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92"/>
        <w:gridCol w:w="1632"/>
        <w:gridCol w:w="1087"/>
      </w:tblGrid>
      <w:tr w:rsidR="00D41EE5">
        <w:tblPrEx>
          <w:tblCellMar>
            <w:top w:w="0" w:type="dxa"/>
            <w:bottom w:w="0" w:type="dxa"/>
          </w:tblCellMar>
        </w:tblPrEx>
        <w:tc>
          <w:tcPr>
            <w:tcW w:w="6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Tên giấy tờ</w:t>
            </w:r>
          </w:p>
        </w:tc>
        <w:tc>
          <w:tcPr>
            <w:tcW w:w="2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Mẫu đơn, tờ khai</w:t>
            </w:r>
          </w:p>
        </w:tc>
        <w:tc>
          <w:tcPr>
            <w:tcW w:w="2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Số lượng</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1. Văn bản công bố đủ điều kiện cung cấp dịch vụ diệt côn trùng, diệt khuẩn bằng chế phẩm theo Mẫu số 08 tại Phụ lục I ban hành kèm theo Nghị định số 155/2018/NĐ-CP.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Mau 08 MTYT 5083.docx</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2. Danh sách người được tập huấn kiến thức có xác nhận của chủ cơ sở công bố.</w:t>
            </w:r>
          </w:p>
        </w:tc>
        <w:tc>
          <w:tcPr>
            <w:tcW w:w="0" w:type="auto"/>
          </w:tcPr>
          <w:p w:rsidR="00D41EE5" w:rsidRDefault="00D41EE5"/>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41EE5" w:rsidRDefault="00C656C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D41EE5" w:rsidRDefault="00C656C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D41EE5" w:rsidRDefault="00C656C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41EE5" w:rsidRDefault="00C656C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41EE5" w:rsidRDefault="00C656C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41EE5" w:rsidRDefault="00C656C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41EE5" w:rsidRDefault="00C656C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D41EE5" w:rsidRDefault="00C656C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06"/>
        <w:gridCol w:w="6016"/>
        <w:gridCol w:w="732"/>
        <w:gridCol w:w="1057"/>
      </w:tblGrid>
      <w:tr w:rsidR="00D41EE5">
        <w:tblPrEx>
          <w:tblCellMar>
            <w:top w:w="0" w:type="dxa"/>
            <w:bottom w:w="0" w:type="dxa"/>
          </w:tblCellMar>
        </w:tblPrEx>
        <w:tc>
          <w:tcPr>
            <w:tcW w:w="2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Số ký hiệu</w:t>
            </w:r>
          </w:p>
        </w:tc>
        <w:tc>
          <w:tcPr>
            <w:tcW w:w="35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Trích yếu</w:t>
            </w:r>
          </w:p>
        </w:tc>
        <w:tc>
          <w:tcPr>
            <w:tcW w:w="15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Ngày ban hành</w:t>
            </w:r>
          </w:p>
        </w:tc>
        <w:tc>
          <w:tcPr>
            <w:tcW w:w="3000" w:type="dxa"/>
          </w:tcPr>
          <w:p w:rsidR="00D41EE5" w:rsidRDefault="00D41EE5"/>
          <w:p w:rsidR="00D41EE5" w:rsidRDefault="00C656C3">
            <w:pPr>
              <w:spacing w:after="0" w:line="276" w:lineRule="auto"/>
              <w:jc w:val="center"/>
            </w:pPr>
            <w:r>
              <w:rPr>
                <w:rFonts w:ascii="Times New Roman" w:eastAsia="Times New Roman" w:hAnsi="Times New Roman" w:cs="Times New Roman"/>
                <w:b/>
                <w:sz w:val="26"/>
              </w:rPr>
              <w:t>Cơ quan ban hành</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91/2016/NĐ-CP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01-07-2016</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Chính phủ</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155/2018/NĐ-CP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Nghị định 155/2018/NĐ-CP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12-11-2018</w:t>
            </w:r>
          </w:p>
        </w:tc>
        <w:tc>
          <w:tcPr>
            <w:tcW w:w="0" w:type="auto"/>
          </w:tcPr>
          <w:p w:rsidR="00D41EE5" w:rsidRDefault="00D41EE5"/>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59/2023/TT-BTC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30-08-2023</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Bộ trưởng Bộ tài chính</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43/2024/TT-BTC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43/2024/TT-BTC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28-06-2024</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Bộ Tài chính</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129/2024/NĐ-CP</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10-10-2024</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Chính phủ</w:t>
            </w:r>
          </w:p>
        </w:tc>
      </w:tr>
      <w:tr w:rsidR="00D41EE5">
        <w:tblPrEx>
          <w:tblCellMar>
            <w:top w:w="0" w:type="dxa"/>
            <w:bottom w:w="0" w:type="dxa"/>
          </w:tblCellMar>
        </w:tblPrEx>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64/2025/TT-BTC</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D41EE5" w:rsidRDefault="00D41EE5"/>
          <w:p w:rsidR="00D41EE5" w:rsidRDefault="00C656C3">
            <w:pPr>
              <w:spacing w:after="0" w:line="276" w:lineRule="auto"/>
            </w:pPr>
            <w:r>
              <w:rPr>
                <w:rFonts w:ascii="Times New Roman" w:eastAsia="Times New Roman" w:hAnsi="Times New Roman" w:cs="Times New Roman"/>
                <w:sz w:val="26"/>
              </w:rPr>
              <w:t>30-06-2025</w:t>
            </w:r>
          </w:p>
        </w:tc>
        <w:tc>
          <w:tcPr>
            <w:tcW w:w="0" w:type="auto"/>
          </w:tcPr>
          <w:p w:rsidR="00D41EE5" w:rsidRDefault="00D41EE5"/>
        </w:tc>
      </w:tr>
    </w:tbl>
    <w:p w:rsidR="00D41EE5" w:rsidRDefault="00C656C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đối với hồ sơ công bố trực tuyến: theo quy định tại Điều 52 Nghị định số 91/2016/NĐ-CP. Điều kiện thủ tục hành chính:  - Người trực tiếp thực hiện diệt côn trùng, diệt khuẩn phải được tập huấn kiến thức sau và được chủ cơ sở xác nhận đã được tập huấn về: (a) Cách đọc thông tin trên nhãn chế phẩm; (b) Kỹ thuật diệt côn trùng, diệt khuẩn phù hợp với dịch vụ mà cơ sở cung cấp; (c) Sử dụng và thải bỏ an toàn chế phẩm diệt côn trùng, diệt khuẩn (Khoản 12 Điều 9 Nghị định số 155/2018/NĐ-CP). - Hoàn thành </w:t>
      </w:r>
      <w:r>
        <w:rPr>
          <w:rFonts w:ascii="Times New Roman" w:eastAsia="Times New Roman" w:hAnsi="Times New Roman" w:cs="Times New Roman"/>
          <w:sz w:val="26"/>
        </w:rPr>
        <w:t>việc công bố đủ điều kiện cung cấp dịch vụ diệt côn trùng, diệt khuẩn bằng chế phẩm quy định tại Điều 43 Nghị định số 91/2016/NĐ-CP (Khoản 4 Điều 41 Nghị định số 91/2016/NĐ-CP).</w:t>
      </w:r>
    </w:p>
    <w:p w:rsidR="00D41EE5" w:rsidRDefault="00C656C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41EE5" w:rsidRDefault="00C656C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https://thutuc.dichvucong.gov.vn/p/home/dvc-tthc-thu-tuc-hanh-chinh-chi-tiet.html?ma_thu_tuc=3524</w:t>
      </w:r>
    </w:p>
    <w:sectPr w:rsidR="00D41EE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1EE5"/>
    <w:rsid w:val="008C78C5"/>
    <w:rsid w:val="00C656C3"/>
    <w:rsid w:val="00D41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F3F9EF-33F6-4564-8227-6EF743B3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