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1.002483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3246/QĐ-BYT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xác nhận nội dung quảng cáo mỹ phẩm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Mỹ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đề nghị xác nhận nội dung quảng cáo nộp hồ sơ tại Sở Y tế.</w:t>
      </w:r>
    </w:p>
    <w:p>
      <w:pPr>
        <w:spacing w:after="0" w:before="0" w:lineRule="auto" w:line="276"/>
        <w:jc w:val="both"/>
      </w:pPr>
      <w:r>
        <w:rPr>
          <w:rFonts w:ascii="Times New Roman" w:hAnsi="Times New Roman" w:cs="Times New Roman" w:eastAsia="Times New Roman"/>
          <w:b w:val="false"/>
          <w:sz w:val="26"/>
        </w:rPr>
        <w:t>Bước 2: Trường hợp hồ sơ chưa hợp lệ, trong thời gian 05 ngày làm việc kể từ ngày nhận hồ sơ theo dấu tiếp nhận công văn đến của cơ quan tiếp nhận hồ sơ, cơ quan tiếp nhận hồ sơ có văn bản đề nghị đơn vị sửa đổi, bổ sung. Thời gian để tổ chức đề nghị xác nhận nội dung quảng cáo sửa đổi, bổ sung hoàn chỉnh hồ sơ theo yêu cầu tối đa là 90 ngày kể từ ngày nhận được văn bản thông báo sửa đổi, bổ sung của cơ quan tiếp nhận hồ sơ. Quá thời hạn này thì hồ sơ đề nghị xác nhận nội dung quảng cáo hết giá trị.</w:t>
      </w:r>
    </w:p>
    <w:p>
      <w:pPr>
        <w:spacing w:after="0" w:before="0" w:lineRule="auto" w:line="276"/>
        <w:jc w:val="both"/>
      </w:pPr>
      <w:r>
        <w:rPr>
          <w:rFonts w:ascii="Times New Roman" w:hAnsi="Times New Roman" w:cs="Times New Roman" w:eastAsia="Times New Roman"/>
          <w:b w:val="false"/>
          <w:sz w:val="26"/>
        </w:rPr>
        <w:t>Bước 3. Trong thời gian 10 ngày làm việc kể từ ngày nhận đủ hồ sơ hợp lệ theo dấu tiếp nhận công văn đến của cơ quan tiếp nhận hồ sơ, cơ quan nhà nước có thẩm quyền cấp giấy xác nhận nội dung quảng cáo. Trường hợp không cấp giấy xác nhận nội dung quảng cáo, cơ quan nhà nước có thẩm quyền phải trả lời bằng văn bản và nêu rõ lý do không cấp.</w:t>
      </w:r>
    </w:p>
    <w:p>
      <w:pPr>
        <w:spacing w:after="0" w:before="0" w:lineRule="auto" w:line="276"/>
        <w:jc w:val="both"/>
      </w:pPr>
      <w:r>
        <w:rPr>
          <w:rFonts w:ascii="Times New Roman" w:hAnsi="Times New Roman" w:cs="Times New Roman" w:eastAsia="Times New Roman"/>
          <w:b w:val="false"/>
          <w:sz w:val="26"/>
        </w:rPr>
        <w:t>Bước 4. Đối với quảng cáo thông qua hình thức hội thảo, hội nghị, tổ chức sự kiện:</w:t>
      </w:r>
    </w:p>
    <w:p>
      <w:pPr>
        <w:spacing w:after="0" w:before="0" w:lineRule="auto" w:line="276"/>
        <w:jc w:val="both"/>
      </w:pPr>
      <w:r>
        <w:rPr>
          <w:rFonts w:ascii="Times New Roman" w:hAnsi="Times New Roman" w:cs="Times New Roman" w:eastAsia="Times New Roman"/>
          <w:b w:val="false"/>
          <w:sz w:val="26"/>
        </w:rPr>
        <w:t>a) Trước khi tiến hành việc quảng cáo ít nhất 02 ngày làm việc, tổ chức, cá nhân có sản phẩm, hàng hóa, dịch vụ đặc biệt thuộc lĩnh vực quản lý của Bộ Y tế đã được cơ quan có thẩm quyền của Bộ Y tế cấp giấy xác nhận nội dung quảng cáo đối với hình thức hội thảo, hội nghị, tổ chức sự kiện phải có văn bản thông báo về hình thức, thời gian và địa điểm quảng cáo kèm theo bản sao giấy xác nhận nội dung quảng cáo, mẫu quảng cáo hoặc kịch bản quảng cáo đã được duyệt cho Sở Y tế nơi tổ chức quảng cáo để thanh tra, kiểm tra trong trường hợp cần thiết;</w:t>
      </w:r>
    </w:p>
    <w:p>
      <w:pPr>
        <w:spacing w:after="0" w:before="0" w:lineRule="auto" w:line="276"/>
        <w:jc w:val="both"/>
      </w:pPr>
      <w:r>
        <w:rPr>
          <w:rFonts w:ascii="Times New Roman" w:hAnsi="Times New Roman" w:cs="Times New Roman" w:eastAsia="Times New Roman"/>
          <w:b w:val="false"/>
          <w:sz w:val="26"/>
        </w:rPr>
        <w:t>b) Trường hợp có thay đổi về địa điểm, thời gian tổ chức hội thảo, hội nghị, tổ chức sự kiện so với nội dung ghi trên giấy xác nhận nội dung quảng cáo, tổ chức, cá nhân có sản phẩm, hàng hóa, dịch vụ quảng cáo phải thông báo tới Sở Y tế địa phương.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Phí : 1.600.000 Đồng</w:t>
            </w:r>
          </w:p>
        </w:tc>
        <w:tc>
          <w:p/>
          <w:p>
            <w:pPr>
              <w:spacing w:after="0" w:before="0" w:lineRule="auto" w:line="276"/>
              <w:jc w:val="left"/>
            </w:pPr>
            <w:r>
              <w:rPr>
                <w:rFonts w:ascii="Times New Roman" w:hAnsi="Times New Roman" w:cs="Times New Roman" w:eastAsia="Times New Roman"/>
                <w:b w:val="false"/>
                <w:sz w:val="26"/>
              </w:rPr>
              <w:t>10 ngày làm việc kể từ ngày nhận được hồ sơ đầy đủ, hợp lệ theo dấu tiếp nhận công văn đến của cơ quan tiếp nhận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Phí : 1.600.000 Đồng</w:t>
            </w:r>
          </w:p>
        </w:tc>
        <w:tc>
          <w:p/>
          <w:p>
            <w:pPr>
              <w:spacing w:after="0" w:before="0" w:lineRule="auto" w:line="276"/>
              <w:jc w:val="left"/>
            </w:pPr>
            <w:r>
              <w:rPr>
                <w:rFonts w:ascii="Times New Roman" w:hAnsi="Times New Roman" w:cs="Times New Roman" w:eastAsia="Times New Roman"/>
                <w:b w:val="false"/>
                <w:sz w:val="26"/>
              </w:rPr>
              <w:t>10 ngày làm việc kể từ ngày nhận được hồ sơ đầy đủ, hợp lệ theo dấu tiếp nhận công văn đến của cơ quan tiếp nhận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xác nhận nội dung quảng cáo theo quy định tại Phụ lục 01 ban hành kèm theo Thông tư 09/2015/TT-BYT;</w:t>
            </w:r>
          </w:p>
        </w:tc>
        <w:tc>
          <w:p/>
          <w:p>
            <w:pPr>
              <w:spacing w:after="0" w:before="0" w:lineRule="auto" w:line="276"/>
              <w:jc w:val="left"/>
            </w:pPr>
            <w:r>
              <w:rPr>
                <w:rFonts w:ascii="Times New Roman" w:hAnsi="Times New Roman" w:cs="Times New Roman" w:eastAsia="Times New Roman"/>
                <w:b w:val="false"/>
                <w:sz w:val="26"/>
              </w:rPr>
              <w:t>TT09_2015_TTBYT_Phu luc 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đăng ký kinh doanh của doanh nghiệp hoặc giấy phép thành lập văn phòng đại diện của thư­ơng nhân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Nếu quảng cáo trên báo nói, báo hình thì phải có 01 bản ghi nội dung quảng cáo dự kiến trong đĩa hình, đĩa âm thanh, file mềm kèm theo 03 bản kịch bản dự kiến quảng cáo, trong đó miêu tả rõ nội dung, phương tiện dự kiến quảng cáo, phần hình ảnh (đối với báo hình), phần lời, phần nhạc;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Nếu quảng cáo trên các phương tiện quảng cáo không phải báo nói, báo hình thì phải có 03 bản ma-két nội dung dự kiến quảng cáo in mầu kèm theo file mềm ghi nội dung dự kiến quảng cáo;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Nếu quảng cáo thông qua hội thảo, hội nghị, tổ chức sự kiện: Ngoài các tài liệu quy định tại điểm này phải có các tài liệu: mẫu quảng cáo sử dụng trong chương trình đã được cơ quan có thẩm quyền phê duyệt còn hiệu lực (trong trường hợp mẫu quảng cáo đã được duyệt nội dung), chương trình có ghi rõ tên nội dung báo cáo, thời gian (ngày/tháng/năm), địa điểm tổ chức (địa chỉ cụ thể); nội dung bài báo cáo và tài liệu trình bày, phát cho người dự; bảng kê tên, chức danh khoa học, trình độ chuyên môn của báo cáo viên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Mẫu nhãn sản phẩm hoặc mẫu nhãn sản phẩm đã đ­ược cơ quan y tế có thẩm quyền chấp thuận trong trường hợp pháp luật quy định nhãn sản phẩm phải được cơ quan y tế có thẩm quyền duyệt.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Trường hợp đơn vị đề nghị xác nhận nội dung quảng cáo là đơn vị được ủy quyền thì phải có các giấy tờ sau đây: - Văn bản ủy quyền hợp lệ; - Giấy chứng nhận đăng ký kinh doanh hoặc Giấy phép thành lập Văn phòng đại diện của thư­ơng nhân n­ước ngoài của đơn vị được ủy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Tài liệu tham khảo, chứng minh, xác thực thông tin trong nội dung quảng cáo: - Các tài liệu bằng tiếng Anh phải dịch ra tiếng Việt kèm theo tài liệu gốc bằng tiếng Anh. Bản dịch tiếng Việt phải được đóng dấu xác nhận của đơn vị đề nghị xác nhận nội dung quảng cáo; - Các tài liệu bằng tiếng nước ngoài không phải là tiếng Anh phải dịch ra tiếng Việt và kèm theo tài liệu gốc bằng tiếng nước ngoài. Bản dịch tiếng Việt phải được công chứng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Các giấy tờ trong hồ sơ đề nghị xác nhận nội dung quảng cáo phải còn hiệu lực, là bản sao chứng thực hoặc bản sao có đóng dấu của đơn vị đề nghị xác nhận nội dung quảng cáo. Các tài liệu trong hồ sơ phải có dấu, dấu giáp lai của đơn vị đề nghị xác nhận nội dung quảng cáo;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Mẫu nội dung quảng cáo được trình bày trên khổ giấy A4. Mẫu hình thức quảng cáo ngoài trời khổ lớn có thể trình bày trên khổ giấy A3 hoặc khổ giấy khác và ghi rõ tỷ lệ kích thước so với kích thước thật.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Phiếu công bố sản phẩm mỹ phẩm đã được cơ quan nhà nước có thẩm quyền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Tài liệu hợp lệ, tin cậy chứng minh cho tính năng, công dụng của sản phẩm trong trường hợp nội dung quảng cáo mỹ phẩm nêu tính năng, công dụng của sản phẩm không có trong nội dung của Phiếu công bố sản phẩm mỹ phẩm đã được cơ quan có thẩm quyền cấp số tiếp nhận.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Y tế</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nội dung quảng cáo mỹ phẩm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03/2013/TT-BTC</w:t>
            </w:r>
          </w:p>
        </w:tc>
        <w:tc>
          <w:p/>
          <w:p>
            <w:pPr>
              <w:spacing w:after="0" w:before="0" w:lineRule="auto" w:line="276"/>
              <w:jc w:val="left"/>
            </w:pPr>
            <w:r>
              <w:rPr>
                <w:rFonts w:ascii="Times New Roman" w:hAnsi="Times New Roman" w:cs="Times New Roman" w:eastAsia="Times New Roman"/>
                <w:b w:val="false"/>
                <w:sz w:val="26"/>
              </w:rPr>
              <w:t>Thông tư 03/2013/TT-BTC - Quy định phí thẩm định kinh doanh thương mại có điều kiện; thẩm định tiêu chuẩn, điều kiện hành nghề y, dược; lệ phí cấp giấy phép xuất, nhập khẩu trang thiết bị y tế, dược phẩm; cấp chứng chỉ hành nghề y; cấp giấy phép hoạt động đối với cơ sở khám, chữa bệnh</w:t>
            </w:r>
          </w:p>
        </w:tc>
        <w:tc>
          <w:p/>
          <w:p>
            <w:pPr>
              <w:spacing w:after="0" w:before="0" w:lineRule="auto" w:line="276"/>
              <w:jc w:val="left"/>
            </w:pPr>
            <w:r>
              <w:rPr>
                <w:rFonts w:ascii="Times New Roman" w:hAnsi="Times New Roman" w:cs="Times New Roman" w:eastAsia="Times New Roman"/>
                <w:b w:val="false"/>
                <w:sz w:val="26"/>
              </w:rPr>
              <w:t>08-01-2013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16/2012/QH13</w:t>
            </w:r>
          </w:p>
        </w:tc>
        <w:tc>
          <w:p/>
          <w:p>
            <w:pPr>
              <w:spacing w:after="0" w:before="0" w:lineRule="auto" w:line="276"/>
              <w:jc w:val="left"/>
            </w:pPr>
            <w:r>
              <w:rPr>
                <w:rFonts w:ascii="Times New Roman" w:hAnsi="Times New Roman" w:cs="Times New Roman" w:eastAsia="Times New Roman"/>
                <w:b w:val="false"/>
                <w:sz w:val="26"/>
              </w:rPr>
              <w:t>Luật 16/2012/QH13-Quảng cáo</w:t>
            </w:r>
          </w:p>
        </w:tc>
        <w:tc>
          <w:p/>
          <w:p>
            <w:pPr>
              <w:spacing w:after="0" w:before="0" w:lineRule="auto" w:line="276"/>
              <w:jc w:val="left"/>
            </w:pPr>
            <w:r>
              <w:rPr>
                <w:rFonts w:ascii="Times New Roman" w:hAnsi="Times New Roman" w:cs="Times New Roman" w:eastAsia="Times New Roman"/>
                <w:b w:val="false"/>
                <w:sz w:val="26"/>
              </w:rPr>
              <w:t>21-06-2012</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181/2013/NĐ-CP</w:t>
            </w:r>
          </w:p>
        </w:tc>
        <w:tc>
          <w:p/>
          <w:p>
            <w:pPr>
              <w:spacing w:after="0" w:before="0" w:lineRule="auto" w:line="276"/>
              <w:jc w:val="left"/>
            </w:pPr>
            <w:r>
              <w:rPr>
                <w:rFonts w:ascii="Times New Roman" w:hAnsi="Times New Roman" w:cs="Times New Roman" w:eastAsia="Times New Roman"/>
                <w:b w:val="false"/>
                <w:sz w:val="26"/>
              </w:rPr>
              <w:t>Nghị định 181/2013/NĐ-CP-Quy định chi tiết thi hành một số điều của Luật Quảng Cáo</w:t>
            </w:r>
          </w:p>
        </w:tc>
        <w:tc>
          <w:p/>
          <w:p>
            <w:pPr>
              <w:spacing w:after="0" w:before="0" w:lineRule="auto" w:line="276"/>
              <w:jc w:val="left"/>
            </w:pPr>
            <w:r>
              <w:rPr>
                <w:rFonts w:ascii="Times New Roman" w:hAnsi="Times New Roman" w:cs="Times New Roman" w:eastAsia="Times New Roman"/>
                <w:b w:val="false"/>
                <w:sz w:val="26"/>
              </w:rPr>
              <w:t>14-11-2013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09/2015/TT-BYT</w:t>
            </w:r>
          </w:p>
        </w:tc>
        <w:tc>
          <w:p/>
          <w:p>
            <w:pPr>
              <w:spacing w:after="0" w:before="0" w:lineRule="auto" w:line="276"/>
              <w:jc w:val="left"/>
            </w:pPr>
            <w:r>
              <w:rPr>
                <w:rFonts w:ascii="Times New Roman" w:hAnsi="Times New Roman" w:cs="Times New Roman" w:eastAsia="Times New Roman"/>
                <w:b w:val="false"/>
                <w:sz w:val="26"/>
              </w:rPr>
              <w:t>Thông tư 09/2015/TT-BYT - Quy định về xác nhận nội dung quảng cáo đối với sản phẩm, hàng hóa, dịch vụ đặc biệt thuộc lĩnh vực quản lý của Bộ Y tế</w:t>
            </w:r>
          </w:p>
        </w:tc>
        <w:tc>
          <w:p/>
          <w:p>
            <w:pPr>
              <w:spacing w:after="0" w:before="0" w:lineRule="auto" w:line="276"/>
              <w:jc w:val="left"/>
            </w:pPr>
            <w:r>
              <w:rPr>
                <w:rFonts w:ascii="Times New Roman" w:hAnsi="Times New Roman" w:cs="Times New Roman" w:eastAsia="Times New Roman"/>
                <w:b w:val="false"/>
                <w:sz w:val="26"/>
              </w:rPr>
              <w:t>25-05-2015</w:t>
            </w:r>
          </w:p>
        </w:tc>
        <w:tc>
          <w:p/>
          <w:p>
            <w:pPr>
              <w:spacing w:after="0" w:before="0" w:lineRule="auto" w:line="276"/>
              <w:jc w:val="left"/>
            </w:pPr>
            <w:r>
              <w:rPr>
                <w:rFonts w:ascii="Times New Roman" w:hAnsi="Times New Roman" w:cs="Times New Roman" w:eastAsia="Times New Roman"/>
                <w:b w:val="false"/>
                <w:sz w:val="26"/>
              </w:rPr>
              <w:t>Bộ Y tế</w:t>
            </w:r>
          </w:p>
        </w:tc>
      </w:tr>
      <w:tr>
        <w:tc>
          <w:p/>
          <w:p>
            <w:pPr>
              <w:spacing w:after="0" w:before="0" w:lineRule="auto" w:line="276"/>
              <w:jc w:val="left"/>
            </w:pPr>
            <w:r>
              <w:rPr>
                <w:rFonts w:ascii="Times New Roman" w:hAnsi="Times New Roman" w:cs="Times New Roman" w:eastAsia="Times New Roman"/>
                <w:b w:val="false"/>
                <w:sz w:val="26"/>
              </w:rPr>
              <w:t>34/2005/QH11</w:t>
            </w:r>
          </w:p>
        </w:tc>
        <w:tc>
          <w:p/>
          <w:p>
            <w:pPr>
              <w:spacing w:after="0" w:before="0" w:lineRule="auto" w:line="276"/>
              <w:jc w:val="left"/>
            </w:pPr>
            <w:r>
              <w:rPr>
                <w:rFonts w:ascii="Times New Roman" w:hAnsi="Times New Roman" w:cs="Times New Roman" w:eastAsia="Times New Roman"/>
                <w:b w:val="false"/>
                <w:sz w:val="26"/>
              </w:rPr>
              <w:t>Luật 34/2005/QH11-Dược</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4 Thông tư số 09/2015/TT-BYT: Điều kiện chung để xác nhận nội dung quảng cáo
1. Nội dung quảng cáo phải bảo đảm đúng các quy định của pháp luật về quảng cáo, không có hành vi bị cấm quy định tại Điều 8 của Luật quảng cáo.
2. Tiếng nói, chữ viết, hình ảnh trong quảng cáo phải bảo đảm ngắn gọn, thông dụng, đúng quy định tại Điều 18 của Luật quảng cáo. Cỡ chữ nhỏ nhất trong nội dung quảng cáo phải bảo đảm tỷ lệ đủ lớn để có thể đọc được trong điều kiện bình thường và không được nhỏ hơn tỷ lệ tương đương cỡ chữ Vntime hoặc Times New Roman 12 trên khổ giấy A4.
Điều 6 Thông tư số 09/2015/TT-BYT:  Điều kiện xác nhận nội dung quảng cáo mỹ phẩm
1. Mỹ phẩm phải đủ điều kiện quảng cáo quy định tại Điểm b Khoản 4 Điều 20 của Luật quảng cáo.
2. Nội dung quảng cáo phải theo đúng quy định tại Điều 4 Nghị định số 181/2013/NĐ-CP và các nội dung sau đây:
a) Không được sử dụng hình ảnh, trang phục, tên, thư tín, bài viết của các đơn vị, cơ sở y tế, bác sỹ, dược sỹ, nhân viên y tế khác;
b) Tính năng, công dụng của sản phẩm phải phù hợp với bản chất của sản phẩm, phân loại sản phẩm và tính năng, công dụng đã được công bố theo quy định của pháp luật.
3. Có đủ hồ sơ theo quy định tại Điều 15 Thông tư này.
4. Đơn vị đề nghị xác nhận nội dung quảng cáo là đơn vị đứng tên trên phiếu công bố sản phẩm hoặc văn phòng đại diện tại Việt Nam của đơn vị đứng tên trên phiếu công bố sản phẩm hoặc đơn vị có tư cách pháp nhân được đơn vị đứng tên trên phiếu công bố sản phẩm ủy quyền bằng văn bản.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https://thutuc.dichvucong.gov.vn/p/home/dvc-tthc-thu-tuc-hanh-chinh-chi-tiet.html?ma_thu_tuc=3546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2025-12-02T12:11:51Z</dcterms:created>
  <dc:creator>Apache POI</dc:creator>
</cp:coreProperties>
</file>