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1.003029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3618/QĐ-BYT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bố tiêu chuẩn áp dụng đối với thiết bị y tế thuộc loại A, B</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Thiết bị y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Trước khi đưa trang thiết bị y tế thuộc loại A, B lưu thông trên thị trường, cơ sở công bố tiêu chuẩn áp dụng có trách nhiệm nộp hồ sơ công bố về Sở Y tế nơi đặt trụ sở kinh doanh.
Bước 2: Khi nhận hồ sơ (bao gồm cả giấy tờ xác nhận đã nộp phí theo quy định của Bộ Tài chính), Sở Y tế trên địa bàn nơi đặt cơ sở kinh doanh trang thiết bị y tế đăng tải Số công bố tiêu chuẩn áp dụng đối với trang thiết bị y tế thuộc loại A, B công khai trên Cổng thông tin điện tử về quản lý trang thiết bị y tế và hồ sơ công bố tiêu chuẩn áp dụng, trừ tài liệu quy định tại khoản 5 Điều 26 Nghị định 98/2021/NĐ-CP.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01 Ngày</w:t>
            </w:r>
          </w:p>
        </w:tc>
        <w:tc>
          <w:p/>
          <w:p>
            <w:pPr>
              <w:spacing w:after="0" w:before="0" w:lineRule="auto" w:line="276"/>
              <w:jc w:val="left"/>
            </w:pPr>
            <w:r>
              <w:rPr>
                <w:rFonts w:ascii="Times New Roman" w:hAnsi="Times New Roman" w:cs="Times New Roman" w:eastAsia="Times New Roman"/>
                <w:b w:val="false"/>
                <w:sz w:val="26"/>
              </w:rPr>
              <w:t>Phí : 1.500.000 Đồng</w:t>
              <w:t xml:space="preserve"> (Phí thẩm định công bố trang thiết bị y tế loại B)</w:t>
            </w:r>
          </w:p>
          <w:p>
            <w:pPr>
              <w:spacing w:after="0" w:before="0" w:lineRule="auto" w:line="276"/>
              <w:jc w:val="left"/>
            </w:pPr>
            <w:r>
              <w:rPr>
                <w:rFonts w:ascii="Times New Roman" w:hAnsi="Times New Roman" w:cs="Times New Roman" w:eastAsia="Times New Roman"/>
                <w:b w:val="false"/>
                <w:sz w:val="26"/>
              </w:rPr>
              <w:t>Phí : 500.000 Đồng</w:t>
              <w:t xml:space="preserve"> (Phí thẩm định công bố trang thiết bị y tế loại A)</w:t>
            </w:r>
          </w:p>
        </w:tc>
        <w:tc>
          <w:p/>
          <w:p>
            <w:pPr>
              <w:spacing w:after="0" w:before="0" w:lineRule="auto" w:line="276"/>
              <w:jc w:val="left"/>
            </w:pPr>
            <w:r>
              <w:rPr>
                <w:rFonts w:ascii="Times New Roman" w:hAnsi="Times New Roman" w:cs="Times New Roman" w:eastAsia="Times New Roman"/>
                <w:b w:val="false"/>
                <w:sz w:val="26"/>
              </w:rPr>
              <w:t>01 ngày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công bố tiêu chuẩn áp dụng của trang thiết bị y tế thuộc loại A, B theo Mẫu số 02 quy định tại Phụ lục I ban hành kèm theo Thông tư  số 10/2023/TT-BYT.</w:t>
            </w:r>
          </w:p>
        </w:tc>
        <w:tc>
          <w:p/>
          <w:p>
            <w:pPr>
              <w:spacing w:after="0" w:before="0" w:lineRule="auto" w:line="276"/>
              <w:jc w:val="left"/>
            </w:pPr>
            <w:r>
              <w:rPr>
                <w:rFonts w:ascii="Times New Roman" w:hAnsi="Times New Roman" w:cs="Times New Roman" w:eastAsia="Times New Roman"/>
                <w:b w:val="false"/>
                <w:sz w:val="26"/>
              </w:rPr>
              <w:t>Phụ lục I 2.1 2.2.docx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đạt tiêu chuẩn quản lý chất lượng ISO 13485 còn hiệu lực tại thời điểm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ủy quyền của chủ sở hữu trang thiết bị y tế cho cơ sở thực hiện việc đăng ký lưu hành theo Mẫu tại Phụ lục VI ban hành kèm theo Thông tư  19/2021/TT-BYT còn hiệu lực tại thời điểm nộp hồ sơ, trừ trường hợp quy định tại điểm a khoản 1 Điều 25 Nghị định 98/2021/NĐ-CP (Doanh nghiệp, hợp tác xã, hộ kinh doanh của Việt Nam là chủ sở hữu trang thiết bị y tế).</w:t>
            </w:r>
          </w:p>
        </w:tc>
        <w:tc>
          <w:p/>
          <w:p>
            <w:pPr>
              <w:spacing w:after="0" w:before="0" w:lineRule="auto" w:line="276"/>
              <w:jc w:val="left"/>
            </w:pPr>
            <w:r>
              <w:rPr>
                <w:rFonts w:ascii="Times New Roman" w:hAnsi="Times New Roman" w:cs="Times New Roman" w:eastAsia="Times New Roman"/>
                <w:b w:val="false"/>
                <w:sz w:val="26"/>
              </w:rPr>
              <w:t>Phụ lục II 2962QĐBYT.docx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xác nhận đủ điều kiện bảo hành quy định tại phụ lục VII ban hành kèm theo Thông tư 19/2021/TT-BYT do chủ sở hữu trang thiết bị y tế cấp, trừ trường hợp trang thiết bị y tế sử dụng một lần theo quy định của chủ sở hữu trang thiết bị y tế hoặc có tài liệu chứng minh không có chế độ bảo hành.</w:t>
            </w:r>
          </w:p>
        </w:tc>
        <w:tc>
          <w:p/>
          <w:p>
            <w:pPr>
              <w:spacing w:after="0" w:before="0" w:lineRule="auto" w:line="276"/>
              <w:jc w:val="left"/>
            </w:pPr>
            <w:r>
              <w:rPr>
                <w:rFonts w:ascii="Times New Roman" w:hAnsi="Times New Roman" w:cs="Times New Roman" w:eastAsia="Times New Roman"/>
                <w:b w:val="false"/>
                <w:sz w:val="26"/>
              </w:rPr>
              <w:t>Phụ lục III 2962QĐBYT.docx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Tài liệu mô tả tóm tắt kỹ thuật trang thiết bị y tế bằng tiếng Việt, kèm theo tài liệu kỹ thuật mô tả chức năng, thông số kỹ thuật của trang thiết bị y tế do chủ sở hữu trang thiết bị y tế ban hành.  Riêng đối với thuốc thử, chất hiệu chuẩn, vật liệu kiểm soát in vitro: tài liệu kỹ thuật bằng tiếng Việt kèm theo tài liệu về nguyên vật liệu, về an toàn của sản phẩm, quy trình sản xuất, các báo cáo nghiên cứu lâm sàng và tiền lâm sàng bao gồm báo cáo độ ổn định.</w:t>
            </w:r>
          </w:p>
        </w:tc>
        <w:tc>
          <w:p/>
          <w:p>
            <w:pPr>
              <w:spacing w:after="0" w:before="0" w:lineRule="auto" w:line="276"/>
              <w:jc w:val="left"/>
            </w:pPr>
            <w:r>
              <w:rPr>
                <w:rFonts w:ascii="Times New Roman" w:hAnsi="Times New Roman" w:cs="Times New Roman" w:eastAsia="Times New Roman"/>
                <w:b w:val="false"/>
                <w:sz w:val="26"/>
              </w:rPr>
              <w:t>Phụ lục IV 2962QĐBYT.docx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hợp chuẩn theo quy định hoặc bản tiêu chuẩn sản phẩm do chủ sở hữu trang thiết bị y tế công bố. Riêng đối với trang thiết bị y tế sản xuất trong nước bổ sung kết quả đánh giá các thông số hóa, lý, vi sinh và các thông số khác do cơ sở đủ điều kiện theo quy định của pháp luật về đánh giá sự phù hợp cấp hoặc Giấy chứng nhận đánh giá chất lượng do cơ quan có thẩm quyền của Việt Nam cấp đối với trang thiết bị y tế chẩn đoán in vitro. Kết quả đánh giá phải phù hợp với tiêu chuẩn mà chủ sở hữu trang thiết bị y tế công bố.</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Tài liệu hướng dẫn sử dụng của trang thiết bị y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Mẫu nhãn sẽ sử dụng khi lưu hành tại Việt Nam của trang thiết bị y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lưu hành tự do còn hiệu lực tại thời điểm nộp hồ sơ đối với trang thiết bị y tế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(Yêu cầu đối với một số giấy tờ trong bộ hồ sơ  a) Đối với Giấy chứng nhận đạt tiêu chuẩn quản lý chất lượng: Nộp bản gốc hoặc bản sao có chứng thực hoặc bản sao có xác nhận của tổ chức đứng tên công bố tiêu chuẩn áp dụng. Trường hợp Giấy chứng nhận đạt tiêu chuẩn quản lý chất lượng không  bằng tiếng Anh hoặc không bằng tiếng Việt thì phải dịch ra tiếng Việt. Bản dịch phải được chứng thực theo quy định của pháp luật. b) Đối với giấy ủy quyền của chủ sở hữu trang thiết bị y tế và giấy xác nhận cơ sở đủ điều kiện bảo hành:  - Đối với trang thiết bị y tế sản xuất trong nước: Nộp bản gốc hoặc bản sao có chứng thực; - Đối với trang thiết bị y tế nhập khẩu: Nộp bản đã được hợp pháp hóa lãnh sự hoặc bản sao có chứng thực của bản đã được hợp pháp hóa lãnh sự. c) Đối với Giấy chứng nhận hợp chuẩn hoặc Bản tiêu chuẩn mà chủ sở hữu trang thiết bị y tế công bố áp dụng: Nộp bản gốc hoặc bản sao có xác nhận của tổ chức đứng tên công bố tiêu chuẩn áp dụng. Trường hợp Bản tiêu chuẩn không bằng tiếng Anh hoặc không bằng tiếng Việt thì phải dịch ra tiếng Việt. Bản dịch phải được chứng thực theo quy định của pháp luật. d) Đối với tài liệu hướng dẫn sử dụng của trang thiết bị y tế: Nộp bản bằng tiếng Việt có xác nhận của tổ chức đứng tên công bố tiêu chuẩn áp dụng, kèm theo bản gốc bằng tiếng Anh do chủ sở hữu trang thiết bị y tế ban hành đối với trang thiết bị y tế nhập khẩu. Trường hợp tài liệu hướng dẫn sử dụng không bằng tiếng Anh hoặc không bằng tiếng Việt thì phải dịch ra tiếng Việt. Bản dịch phải được chứng thực theo quy định của pháp luật. đ) Đối với mẫu nhãn: Nộp bản mẫu nhãn có xác nhận của tổ chức đứng tên công bố tiêu chuẩn áp dụng. Mẫu nhãn phải đáp ứng các yêu cầu theo quy định của pháp luật về nhãn hàng hóa. e) Đối với giấy chứng nhận lưu hành tự do: Nộp bản đã được hợp pháp hóa lãnh sự hoặc bản sao có chứng thực của bản đã được hợp pháp hóa lãnh sự. Trường hợp giấy chứng nhận lưu hành tự do không bằng tiếng Anh hoặc không bằng tiếng Việt thì phải dịch ra tiếng Việt. Bản dịch phải được chứng thực theo quy định của pháp luật. g) Đối với bản kết quả đánh giá các thông số hóa, lý, vi sinh và các thông số khác do cơ sở đủ điều kiện theo quy định của pháp luật về đánh giá sự phù hợp cấp hoặc Giấy chứng nhận đánh giá chất lượng do cơ quan có thẩm quyền của Việt Nam cấp đối với trang thiết bị y tế chẩn đoán in vitro: Nộp bản gốc hoặc bản sao có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khai trên Cổng thông tin điện tử về quản lý trang thiết bị y tế các thông tin và hồ sơ công bố</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98/2021/NĐ-CP</w:t>
            </w:r>
          </w:p>
        </w:tc>
        <w:tc>
          <w:p/>
          <w:p>
            <w:pPr>
              <w:spacing w:after="0" w:before="0" w:lineRule="auto" w:line="276"/>
              <w:jc w:val="left"/>
            </w:pPr>
            <w:r>
              <w:rPr>
                <w:rFonts w:ascii="Times New Roman" w:hAnsi="Times New Roman" w:cs="Times New Roman" w:eastAsia="Times New Roman"/>
                <w:b w:val="false"/>
                <w:sz w:val="26"/>
              </w:rPr>
              <w:t>Nghị định 98/2021/NĐ-CP</w:t>
            </w:r>
          </w:p>
        </w:tc>
        <w:tc>
          <w:p/>
          <w:p>
            <w:pPr>
              <w:spacing w:after="0" w:before="0" w:lineRule="auto" w:line="276"/>
              <w:jc w:val="left"/>
            </w:pPr>
            <w:r>
              <w:rPr>
                <w:rFonts w:ascii="Times New Roman" w:hAnsi="Times New Roman" w:cs="Times New Roman" w:eastAsia="Times New Roman"/>
                <w:b w:val="false"/>
                <w:sz w:val="26"/>
              </w:rPr>
              <w:t>08-11-2021</w:t>
            </w:r>
          </w:p>
        </w:tc>
        <w:tc>
          <w:p/>
        </w:tc>
      </w:tr>
      <w:tr>
        <w:tc>
          <w:p/>
          <w:p>
            <w:pPr>
              <w:spacing w:after="0" w:before="0" w:lineRule="auto" w:line="276"/>
              <w:jc w:val="left"/>
            </w:pPr>
            <w:r>
              <w:rPr>
                <w:rFonts w:ascii="Times New Roman" w:hAnsi="Times New Roman" w:cs="Times New Roman" w:eastAsia="Times New Roman"/>
                <w:b w:val="false"/>
                <w:sz w:val="26"/>
              </w:rPr>
              <w:t>19/2021/TT-BYT</w:t>
            </w:r>
          </w:p>
        </w:tc>
        <w:tc>
          <w:p/>
          <w:p>
            <w:pPr>
              <w:spacing w:after="0" w:before="0" w:lineRule="auto" w:line="276"/>
              <w:jc w:val="left"/>
            </w:pPr>
            <w:r>
              <w:rPr>
                <w:rFonts w:ascii="Times New Roman" w:hAnsi="Times New Roman" w:cs="Times New Roman" w:eastAsia="Times New Roman"/>
                <w:b w:val="false"/>
                <w:sz w:val="26"/>
              </w:rPr>
              <w:t>Thông tư 19/2021/TT-BYT</w:t>
            </w:r>
          </w:p>
        </w:tc>
        <w:tc>
          <w:p/>
          <w:p>
            <w:pPr>
              <w:spacing w:after="0" w:before="0" w:lineRule="auto" w:line="276"/>
              <w:jc w:val="left"/>
            </w:pPr>
            <w:r>
              <w:rPr>
                <w:rFonts w:ascii="Times New Roman" w:hAnsi="Times New Roman" w:cs="Times New Roman" w:eastAsia="Times New Roman"/>
                <w:b w:val="false"/>
                <w:sz w:val="26"/>
              </w:rPr>
              <w:t>16-11-2021</w:t>
            </w:r>
          </w:p>
        </w:tc>
        <w:tc>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số 64/2025/TT-BTC ngày 30/6/2025 của Bộ trưởng Bộ Tài chính quy định mức thu,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25 Nghị định số 98/2021/NĐ-CP Điều kiện của tổ chức được đứng tên công bố tiêu chuẩn áp dụng hoặc đăng ký lưu hành trang thiết bị y tế
1. Tổ chức được đứng tên công bố tiêu chuẩn áp dụng hoặc đăng ký lưu hành trang thiết bị y tế bao gồm:
a) Doanh nghiệp, hợp tác xã, hộ kinh doanh của Việt Nam là chủ sở hữu trang thiết bị y tế;
b) Doanh nghiệp, hợp tác xã, hộ kinh doanh của Việt Nam được ủy quyền của chủ sở hữu trang thiết bị y tế;
c) Văn phòng đại diện thường trú tại Việt Nam của thương nhân nước ngoài mà thương nhân đó là chủ sở hữu trang thiết bị y tế hoặc được ủy quyền của chủ sở hữu trang thiết bị y tế.
2. Tổ chức đứng tên công bố tiêu chuẩn áp dụng hoặc đăng ký lưu hành trang thiết bị y tế phải có cơ sở bảo hành tại Việt Nam hoặc phải có hợp đồng với tổ chức đủ năng lực bảo hành trang thiết bị y tế, trừ trường hợp các trang thiết bị y tế sử dụng một lần theo quy định của chủ sở hữu trang thiết bị y tế hoặc có tài liệu chứng minh không có chế độ bảo hành.
Trường hợp tổ chức đứng tên công bố tiêu chuẩn áp dụng hoặc đăng ký lưu hành trang thiết bị y tế thuộc quy định tại điểm c khoản 1 Điều này thì chủ sở hữu trang thiết bị y tế phải có cơ sở bảo hành tại Việt Nam hoặc phải có hợp đồng với cơ sở đủ năng lực bảo hành trang thiết bị y tế, trừ trường hợp các trang thiết bị y tế sử dụng một lần theo quy định của chủ sở hữu trang thiết bị y tế hoặc có tài liệu chứng minh không có chế độ bảo hành.
Cơ sở bảo hành phải được chủ sở hữu trang thiết bị y tế chứng nhận đủ năng lực bảo hành sản phẩm.
số lưu hành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https://thutuc.dichvucong.gov.vn/p/home/dvc-tthc-thu-tuc-hanh-chinh-chi-tiet.html?ma_thu_tuc=4301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2025-12-02T12:13:29Z</dcterms:created>
  <dc:creator>Apache POI</dc:creator>
</cp:coreProperties>
</file>