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1.003039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bố đủ điều kiện mua bán trang thiết bị y tế thuộc loại B, C, D</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Thiết bị y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khi thực hiện mua bán trang thiết bị y tế cơ sở mua bán trang thiết bị y tế có trách nhiệm nộp hồ sơ công bố về Sở Y tế nơi đặt địa điểm mua bán.
Bước 2: Khi nhận hồ sơ (bao gồm cả giấy tờ xác nhận đã nộp phí theo quy định của Bộ Tài chính), Sở Y tế trên địa bàn đặt trụ sở cơ sở mua bán trang thiết bị y tế đăng tải công khai trên Cổng thông tin điện tử về quản lý trang thiết bị y tế các thông tin và hồ sơ công bố đủ điều kiện mua bán trang thiết bị y tế.</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 Ngày</w:t>
            </w:r>
          </w:p>
        </w:tc>
        <w:tc>
          <w:p/>
          <w:p>
            <w:pPr>
              <w:spacing w:after="0" w:before="0" w:lineRule="auto" w:line="276"/>
              <w:jc w:val="left"/>
            </w:pPr>
            <w:r>
              <w:rPr>
                <w:rFonts w:ascii="Times New Roman" w:hAnsi="Times New Roman" w:cs="Times New Roman" w:eastAsia="Times New Roman"/>
                <w:b w:val="false"/>
                <w:sz w:val="26"/>
              </w:rPr>
              <w:t>Phí : 1.500.000 Đồng</w:t>
              <w:t xml:space="preserve"> ((Phí thẩm định Điều kiện kinh doanh thuộc lĩnh vực trang thiết bị y tế))</w:t>
            </w:r>
          </w:p>
        </w:tc>
        <w:tc>
          <w:p/>
          <w:p>
            <w:pPr>
              <w:spacing w:after="0" w:before="0" w:lineRule="auto" w:line="276"/>
              <w:jc w:val="left"/>
            </w:pPr>
            <w:r>
              <w:rPr>
                <w:rFonts w:ascii="Times New Roman" w:hAnsi="Times New Roman" w:cs="Times New Roman" w:eastAsia="Times New Roman"/>
                <w:b w:val="false"/>
                <w:sz w:val="26"/>
              </w:rPr>
              <w:t>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công bố đủ điều kiện mua bán trang thiết bị y tế thuộc loại B, C, D theo Mẫu số 04 thuộc Phụ lục I ban hành kèm theo Thông tư số 19/2021/TT-BYT;</w:t>
            </w:r>
          </w:p>
        </w:tc>
        <w:tc>
          <w:p/>
          <w:p>
            <w:pPr>
              <w:spacing w:after="0" w:before="0" w:lineRule="auto" w:line="276"/>
              <w:jc w:val="left"/>
            </w:pPr>
            <w:r>
              <w:rPr>
                <w:rFonts w:ascii="Times New Roman" w:hAnsi="Times New Roman" w:cs="Times New Roman" w:eastAsia="Times New Roman"/>
                <w:b w:val="false"/>
                <w:sz w:val="26"/>
              </w:rPr>
              <w:t>Mẫu số 4 VĂN BẢN CÔNG BỐ.docx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khai nhân sự theo mẫu quy định tại Phụ lục II ban hành kèm theo Thông tư số 19/2021/TT-BYT;</w:t>
            </w:r>
          </w:p>
        </w:tc>
        <w:tc>
          <w:p/>
          <w:p>
            <w:pPr>
              <w:spacing w:after="0" w:before="0" w:lineRule="auto" w:line="276"/>
              <w:jc w:val="left"/>
            </w:pPr>
            <w:r>
              <w:rPr>
                <w:rFonts w:ascii="Times New Roman" w:hAnsi="Times New Roman" w:cs="Times New Roman" w:eastAsia="Times New Roman"/>
                <w:b w:val="false"/>
                <w:sz w:val="26"/>
              </w:rPr>
              <w:t>MẪU BẢN KÊ KHAI NHÂN SỰ.docx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giấy tờ chứng minh kho bảo quản, phương tiện vận chuyển trang thiết bị y tế đáp ứng các yêu cầu theo quy định tại khoản 2 Điều 40 Nghị định 98/2021/NĐ-CP. Các giấy tờ này phải được xác nhận bởi cơ sở công bố đủ điều kiện mua bán;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giấy tờ chứng minh kho bảo quản, hệ thống theo dõi quản lý quá trình xuất, nhập, tồn kho trang thiết bị y tế có chứa chất ma túy và tiền chất đáp ứng các yêu cầu theo quy định tại khoản 3 Điều 40 Nghị định 98/2021/NĐ-CP. Các giấy tờ này phải được xác nhận bởi cơ sở công bố đủ điều kiện mua bán trang thiết bị y tế có chứa chất ma túy và tiền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khai trên Cổng thông tin điện tử về quản lý trang thiết bị y tế các thông tin và hồ sơ công bố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98/2021/NĐ-CP</w:t>
            </w:r>
          </w:p>
        </w:tc>
        <w:tc>
          <w:p/>
          <w:p>
            <w:pPr>
              <w:spacing w:after="0" w:before="0" w:lineRule="auto" w:line="276"/>
              <w:jc w:val="left"/>
            </w:pPr>
            <w:r>
              <w:rPr>
                <w:rFonts w:ascii="Times New Roman" w:hAnsi="Times New Roman" w:cs="Times New Roman" w:eastAsia="Times New Roman"/>
                <w:b w:val="false"/>
                <w:sz w:val="26"/>
              </w:rPr>
              <w:t>Nghị định về trang thiết bị y tế số 98/2021/NĐ-CP  (link trên thư viện pl vì trên cơ sở dữ liệu về văn bản QPPL ko có)</w:t>
            </w:r>
          </w:p>
        </w:tc>
        <w:tc>
          <w:p/>
          <w:p>
            <w:pPr>
              <w:spacing w:after="0" w:before="0" w:lineRule="auto" w:line="276"/>
              <w:jc w:val="left"/>
            </w:pPr>
            <w:r>
              <w:rPr>
                <w:rFonts w:ascii="Times New Roman" w:hAnsi="Times New Roman" w:cs="Times New Roman" w:eastAsia="Times New Roman"/>
                <w:b w:val="false"/>
                <w:sz w:val="26"/>
              </w:rPr>
              <w:t>08-11-2021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19/2021/TT-BYT</w:t>
            </w:r>
          </w:p>
        </w:tc>
        <w:tc>
          <w:p/>
          <w:p>
            <w:pPr>
              <w:spacing w:after="0" w:before="0" w:lineRule="auto" w:line="276"/>
              <w:jc w:val="left"/>
            </w:pPr>
            <w:r>
              <w:rPr>
                <w:rFonts w:ascii="Times New Roman" w:hAnsi="Times New Roman" w:cs="Times New Roman" w:eastAsia="Times New Roman"/>
                <w:b w:val="false"/>
                <w:sz w:val="26"/>
              </w:rPr>
              <w:t>Thông tư 19/2021/TT-BYT quy định về mẫu văn bản, báo cáo thực hiện Nghị định 98/2021/NĐ-CP về quản lý trang thiết bị y tế do Bộ trưởng Bộ Y tế ban hành (link lấy từ thuvienphapluat.vn vì cơ sở dữ liệu về văn bản qppl ko có)</w:t>
            </w:r>
          </w:p>
        </w:tc>
        <w:tc>
          <w:p/>
          <w:p>
            <w:pPr>
              <w:spacing w:after="0" w:before="0" w:lineRule="auto" w:line="276"/>
              <w:jc w:val="left"/>
            </w:pPr>
            <w:r>
              <w:rPr>
                <w:rFonts w:ascii="Times New Roman" w:hAnsi="Times New Roman" w:cs="Times New Roman" w:eastAsia="Times New Roman"/>
                <w:b w:val="false"/>
                <w:sz w:val="26"/>
              </w:rPr>
              <w:t>16-11-2021</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40 Nghị định số 98/2021/NĐ-CP Điều kiện của cơ sở mua bán trang thiết bị y tế thuộc loại B, C, D 
1. Có ít nhất 01 nhân viên kỹ thuật có trình độ cao đẳng chuyên ngành kỹ thuật, chuyên ngành y, dược, hóa học, sinh học hoặc cao đẳng kỹ thuật trang thiết bị y tế trở lên hoặc có trình độ cao đẳng trở lên mà chuyên ngành được đào tạo phù hợp với loại trang thiết bị y tế mà cơ sở mua bán.
2. Có kho bảo quản và phương tiện vận chuyển đáp ứng các điều kiện tối thiểu sau đây:
a) Kho bảo quản:
- Có diện tích phù hợp với chủng loại và số lượng trang thiết bị y tế được bảo quản,
- Bảo đảm thoáng, khô ráo, sạch sẽ, không gần các nguồn gây ô nhiễm,
- Đáp ứng yêu cầu bảo quản khác của trang thiết bị y tế theo hướng dẫn sử dụng.
b) Phương tiện vận chuyển trang thiết bị y tế từ cơ sở mua bán đến nơi giao hàng phù hợp với loại trang thiết bị y tế mà cơ sở mua bán.
Trường hợp không có kho hoặc phương tiện bảo quản trang thiết bị y tế phải có hợp đồng với cơ sở đủ năng lực để bảo quản và vận chuyển trang thiết bị y tế.
3. Đối với cơ sở mua bán trang thiết bị y tế có chứa chất ma túy và tiền chất: 
a) Người phụ trách chuyên môn phải có trình độ đại học chuyên ngành trang thiết bị y tế, y, dược, hóa dược hoặc sinh học.
b) Có kho bảo quản đáp ứng quy định tại Điều 7 Nghị định số 80/2001/NĐ-CP ngày 05 tháng 11 năm 2001 của Chính phủ hướng dẫn việc kiểm soát các hoạt động liên quan đến ma túy ở trong nước.
c) Có hệ thống theo dõi quản lý quá trình xuất, nhập, tồn kho trang thiết bị y tế có chứa chất ma túy và tiền chất.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2025-12-02T12:13:28Z</dcterms:created>
  <dc:creator>Apache POI</dc:creator>
</cp:coreProperties>
</file>