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1.003925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3618/QĐ-BYT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mới số lưu hành đối với trang thiết bị y tế thuộc loại C, D đã có quy chuẩn kỹ thuật quốc gia tương ứng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Thiết bị y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đề nghị cấp số lưu hành nộp hồ sơ cho Bộ Y tế thông qua Hệ thống thông tin giải quyết thủ tục hành chính Bộ Y tế (https://dichvucong.moh.gov.vn) hoặc Cổng thông tin điện tử về quản lý thiết bị y tế (https://dmec.moh.gov.vn/).
Bước 2: 
a) Trường hợp hồ sơ thuộc trường hợp ưu tiên theo quy định tại khoản 21, Điều 147 Nghị định số 96/2023/NĐ-CP ngày 30 tháng 12 năm 2023 của Chính phủ quy định chi tiết một số điều của Luật Khám bệnh, chữa bệnh và cơ sở đăng ký có văn bản đề nghị ưu tiên xử lý trước (trong đó có đủ thông tin về mã hồ sơ đã nộp trên cổng thông tin điện tử của Bộ Y tế; tài liệu chứng minh tương ứng với các trường hợp ưu tiên) thì Bộ Y tế xem xét, cho phép xử lý ưu tiên hồ sơ đăng ký lưu hành thiết bị y tế trong thời hạn 10 ngày làm việc, kể từ ngày nhận được văn bản đề nghị của cơ sở đăng ký đề nghị ưu tiên xử lý trước hồ sơ đăng ký lưu hành thiết bị y tế và tài liệu kèm theo. Trường hợp không cho phép xử lý ưu tiên phải có văn bản trả lời và nêu rõ lý do. Trường hợp hồ sơ đủ tiêu chuẩn ưu tiên theo quy định, thực hiện ưu tiên thẩm định ngay hồ sơ theo quy định tại Bước 3 và các bước tiếp theo. 
b) Trường hợp hồ sơ không thuộc trường hợp ưu tiên thực hiện theo quy định tại Bước 3.
Bước 3: Trường hợp không có yêu cầu sửa đổi, bổ sung hồ sơ đăng ký lưu hành, Bộ trưởng Bộ Y tế có trách nhiệm: Tổ chức thẩm định để cấp số lưu hành trong thời hạn 30 ngày, kể từ ngày nhận được hồ sơ đầy đủ, hợp lệ (bao gồm cả giấy tờ xác nhận đã nộp phí thẩm định cấp giấy phép lưu hành theo quy định của Bộ Tài chính). Trường hợp không cấp số lưu hành phải có văn bản trả lời và nêu rõ lý do.
Bước 4: Khi nhận được yêu cầu bổ sung, sửa đổi hồ sơ đề nghị cấp số lưu hành, cơ sở đề nghị cấp số lưu hành phải bổ sung, sửa đổi theo đúng những nội dung đã thông báo và gửi về Bộ Y tế.
Trường hợp cơ sở đề nghị cấp số lưu hành đã bổ sung, sửa đổi hồ sơ nhưng không đúng với yêu cầu thì Bộ Y tế sẽ thông báo cho cơ sở để tiếp tục hoàn chỉnh hồ sơ theo quy định.
Sau 90 ngày, kể từ ngày Bộ Y tế có thông báo yêu cầu mà cơ sở không bổ sung, sửa đổi hồ sơ hoặc nếu sau 05 lần sửa đổi, bổ sung hồ sơ kể từ ngày Bộ Y tế có yêu cầu sửa đổi, bổ sung lần đầu mà hồ sơ vẫn không đáp ứng yêu cầu thì phải thực hiện lại từ đầu thủ tục đề nghị cấp số lưu hành.
Bước 5: Trong thời hạn 01 ngày làm việc, kể từ ngày cấp số lưu hành, Bộ Y tế có trách nhiệm công khai trên Cổng thông tin điện tử về quản lý thiết bị y tế các thông tin sau:
a) Tên, phân loại, cơ sở sản xuất, nước sản xuất thiết bị y tế;
b) Số lưu hành của thiết bị y tế;
c) Tên, địa chỉ của chủ sở hữu thiết bị y tế;
d) Tên, địa chỉ của chủ sở hữu số lưu hành;
đ) Tên, địa chỉ của cơ sở bảo hành thiết bị y tế;
e) Các tài liệu trong hồ sơ đăng ký lưu hành của thiết bị y tế, trừ Hồ sơ kỹ thuật chung về thiết bị y tế theo quy định của ASEAN.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3.000.000 Đồng</w:t>
            </w:r>
          </w:p>
        </w:tc>
        <w:tc>
          <w:p/>
          <w:p>
            <w:pPr>
              <w:spacing w:after="0" w:before="0" w:lineRule="auto" w:line="276"/>
              <w:jc w:val="left"/>
            </w:pPr>
            <w:r>
              <w:rPr>
                <w:rFonts w:ascii="Times New Roman" w:hAnsi="Times New Roman" w:cs="Times New Roman" w:eastAsia="Times New Roman"/>
                <w:b w:val="false"/>
                <w:sz w:val="26"/>
              </w:rPr>
              <w:t>- Trường hợp xử lý bình thường: Sau 30 ngày, kể từ ngày nhận được hồ sơ đầy đủ, hợp lệ (bao gồm cả giấy tờ xác nhận đã nộp phí thẩm định cấp giấy phép lưu hành theo quy định của Bộ Tài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xử lý bình thường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mới số lưu hành trang thiết bị y tế thuộc loại C, D đã có quy chuẩn kỹ thuật quốc gia tương ứng theo mẫu số 03.01 quy định tại Phụ lục I ban hành kèm theo Thông tư 10/2023/TT-BYT.</w:t>
            </w:r>
          </w:p>
        </w:tc>
        <w:tc>
          <w:p/>
          <w:p>
            <w:pPr>
              <w:spacing w:after="0" w:before="0" w:lineRule="auto" w:line="276"/>
              <w:jc w:val="left"/>
            </w:pPr>
            <w:r>
              <w:rPr>
                <w:rFonts w:ascii="Times New Roman" w:hAnsi="Times New Roman" w:cs="Times New Roman" w:eastAsia="Times New Roman"/>
                <w:b w:val="false"/>
                <w:sz w:val="26"/>
              </w:rPr>
              <w:t>Phụ lục I 2962QĐBYT.docx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đạt tiêu chuẩn quản lý chất lượng ISO 13845 còn hiệu lực tại thời điểm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ủy quyền của chủ sở hữu trang thiết bị y tế cho cơ sở thực hiện việc đăng ký lưu hành theo Mẫu quy định tại Phụ lục VI ban hành kèm theo Thông tư  19/2021/TT-BYT còn hiệu lực tại thời điểm nộp hồ sơ, trừ trường hợp quy định tại điểm a khoản 1 Điều 25 Nghị định 98/2021/NĐ-CP (Doanh nghiệp, hợp tác xã, hộ kinh doanh của Việt Nam là chủ sở hữu trang thiết bị y tế).</w:t>
            </w:r>
          </w:p>
        </w:tc>
        <w:tc>
          <w:p/>
          <w:p>
            <w:pPr>
              <w:spacing w:after="0" w:before="0" w:lineRule="auto" w:line="276"/>
              <w:jc w:val="left"/>
            </w:pPr>
            <w:r>
              <w:rPr>
                <w:rFonts w:ascii="Times New Roman" w:hAnsi="Times New Roman" w:cs="Times New Roman" w:eastAsia="Times New Roman"/>
                <w:b w:val="false"/>
                <w:sz w:val="26"/>
              </w:rPr>
              <w:t>Phụ lục II 2962QĐBYT.docx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xác nhận đủ điều kiện bảo hành quy định tại phụ lục VII ban hành kèm theo Thông tư 19/2021/TT-BYT do chủ sở hữu trang thiết bị y tế cấp, trừ trường hợp trang thiết bị y tế sử dụng một lần theo quy định của chủ sở hữu trang thiết bị y tế hoặc có tài liệu chứng minh không có chế độ bảo hành.</w:t>
            </w:r>
          </w:p>
        </w:tc>
        <w:tc>
          <w:p/>
          <w:p>
            <w:pPr>
              <w:spacing w:after="0" w:before="0" w:lineRule="auto" w:line="276"/>
              <w:jc w:val="left"/>
            </w:pPr>
            <w:r>
              <w:rPr>
                <w:rFonts w:ascii="Times New Roman" w:hAnsi="Times New Roman" w:cs="Times New Roman" w:eastAsia="Times New Roman"/>
                <w:b w:val="false"/>
                <w:sz w:val="26"/>
              </w:rPr>
              <w:t>Phụ lục III 2962QĐBYT.docx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lưu hành còn hiệu lực tại thời điểm nộp hồ sơ đối với trang thiết bị y tế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hợp quy.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Hồ sơ kỹ thuật chung về trang thiết bị y tế theo quy định của ASEAN đối với hồ sơ nộp từ ngày 01/01/2024.</w:t>
            </w:r>
          </w:p>
        </w:tc>
        <w:tc>
          <w:p/>
          <w:p>
            <w:pPr>
              <w:spacing w:after="0" w:before="0" w:lineRule="auto" w:line="276"/>
              <w:jc w:val="left"/>
            </w:pPr>
            <w:r>
              <w:rPr>
                <w:rFonts w:ascii="Times New Roman" w:hAnsi="Times New Roman" w:cs="Times New Roman" w:eastAsia="Times New Roman"/>
                <w:b w:val="false"/>
                <w:sz w:val="26"/>
              </w:rPr>
              <w:t>Phụ lục IV 2962QĐBYT.docx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hồ sơ nộp trước ngày 01/01/2024. - Tài liệu mô tả tóm tắt kỹ thuật trang thiết bị y tế bằng tiếng Việt, kèm theo tài liệu kỹ thuật mô tả chức năng, thông số kỹ thuật của trang thiết bị y tế do chủ sở hữu trang thiết bị y tế ban hành.  Riêng đối với thuốc thử, chất hiệu chuẩn, vật liệu kiểm soát in vitro: tài liệu kỹ thuật bằng tiếng Việt kèm theo tài liệu về nguyên vật liệu, về an toàn của sản phẩm, quy trình sản xuất và kiểm soát chất lượng sản phẩm, các báo cáo nghiên cứu lâm sàng và tiền lâm sàng bao gồm báo cáo độ ổn định. - Tài liệu hướng dẫn sử dụng của trang thiết bị y tế. - Mẫu nhãn sẽ sử dụng khi lưu hành tại Việt Nam của trang thiết bị y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(Yêu cầu đối với một số giấy tờ trong bộ hồ sơ đề nghị cấp mới số lưu hành: a) Đối với giấy chứng nhận đạt tiêu chuẩn quản lý chất lượng: Nộp bản gốc hoặc bản sao có chứng thực hoặc bản sao có xác nhận của cơ sở đề nghị cấp số lưu hành. Trường hợp giấy chứng nhận đạt tiêu chuẩn quản lý chất lượng không bằng tiếng Anh hoặc không bằng tiếng Việt thì phải dịch ra tiếng Việt. Bản dịch phải được chứng thực theo quy định của pháp luật. b) Đối với giấy ủy quyền của chủ sở hữu trang thiết bị y tế và giấy xác nhận cơ sở đủ điều kiện bảo hành:  - Đối với trang thiết bị y tế sản xuất trong nước: Nộp bản gốc hoặc bản sao có chứng thực; - Đối với trang thiết bị y tế nhập khẩu: Nộp bản đã được hợp pháp hóa lãnh sự hoặc bản sao có chứng thực của bản đã được hợp pháp hóa lãnh sự. c) Đối với giấy lưu hành: Nộp bản đã được hợp pháp hóa lãnh sự hoặc bản sao có chứng thực của bản đã được hợp pháp hóa lãnh sự. Trường hợp giấy lưu hành không bằng tiếng Anh hoặc không bằng tiếng Việt thì phải dịch ra tiếng Việt. Bản dịch phải được chứng thực theo quy định của pháp luật. d) Đối với giấy chứng nhận hợp quy: Nộp bản gốc hoặc bản sao có chứng thực hoặc bản sao có xác nhận của cơ sở đề nghị cấp số lưu hành. đ) Đối với hồ sơ CSDT: Nộp bản có xác nhận của tổ chức đề nghị cấp số lưu hành. Trường hợp hồ sơ CSDT không bằng tiếng Anh hoặc không bằng tiếng Việt thì phải dịch ra tiếng Việt. Bản dịch phải được chứng thực theo quy định của pháp luật. e) Đối với tài liệu kỹ thuật của trang thiết bị y tế: Nộp bản có xác nhận của tổ chức đề nghị cấp số lưu hành. - Đối với tài liệu hướng dẫn sử dụng của trang thiết bị y tế: Nộp bản bằng tiếng Việt có xác nhận của tổ chức đề nghị cấp số lưu hành, kèm theo bản gốc bằng tiếng Anh do chủ sở hữu trang thiết bị y tế ban hành đối với trang thiết bị y tế nhập khẩu. - Đối với mẫu nhãn: Nộp bản mẫu nhãn có xác nhận của tổ chức đề nghị cấp số lưu hành. Mẫu nhãn phải đáp ứng các yêu cầu theo quy định của pháp luật về nhãn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xử lý ưu tiên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ưu tiên xử lý trước, trong đó có đủ thông tin về mã hồ sơ đã nộp trên cổng thông tin điện tử của Bộ Y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tương ứng đối với các trường hợp quy định tại khoản 1 Điều 32a Nghị định số 98/2021/NĐ-CP (được bổ sung theo quy định tại khoản 21, Điều 147 Nghị định số 96/2023/NĐ-CP ngày 30 tháng 12 năm 2023 của Chính phủ quy định chi tiết một số điều của Luật Khám bệnh, chữa bệnh).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Hạ tầng và Thiết bị y tế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Số đăng ký lưu hành trang thiết bị y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98/2021/NĐ-CP</w:t>
            </w:r>
          </w:p>
        </w:tc>
        <w:tc>
          <w:p/>
          <w:p>
            <w:pPr>
              <w:spacing w:after="0" w:before="0" w:lineRule="auto" w:line="276"/>
              <w:jc w:val="left"/>
            </w:pPr>
            <w:r>
              <w:rPr>
                <w:rFonts w:ascii="Times New Roman" w:hAnsi="Times New Roman" w:cs="Times New Roman" w:eastAsia="Times New Roman"/>
                <w:b w:val="false"/>
                <w:sz w:val="26"/>
              </w:rPr>
              <w:t>Nghị định 98/2021/NĐ-CP</w:t>
            </w:r>
          </w:p>
        </w:tc>
        <w:tc>
          <w:p/>
          <w:p>
            <w:pPr>
              <w:spacing w:after="0" w:before="0" w:lineRule="auto" w:line="276"/>
              <w:jc w:val="left"/>
            </w:pPr>
            <w:r>
              <w:rPr>
                <w:rFonts w:ascii="Times New Roman" w:hAnsi="Times New Roman" w:cs="Times New Roman" w:eastAsia="Times New Roman"/>
                <w:b w:val="false"/>
                <w:sz w:val="26"/>
              </w:rPr>
              <w:t>08-11-2021</w:t>
            </w:r>
          </w:p>
        </w:tc>
        <w:tc>
          <w:p/>
        </w:tc>
      </w:tr>
      <w:tr>
        <w:tc>
          <w:p/>
          <w:p>
            <w:pPr>
              <w:spacing w:after="0" w:before="0" w:lineRule="auto" w:line="276"/>
              <w:jc w:val="left"/>
            </w:pPr>
            <w:r>
              <w:rPr>
                <w:rFonts w:ascii="Times New Roman" w:hAnsi="Times New Roman" w:cs="Times New Roman" w:eastAsia="Times New Roman"/>
                <w:b w:val="false"/>
                <w:sz w:val="26"/>
              </w:rPr>
              <w:t>19/2021/TT-BYT</w:t>
            </w:r>
          </w:p>
        </w:tc>
        <w:tc>
          <w:p/>
          <w:p>
            <w:pPr>
              <w:spacing w:after="0" w:before="0" w:lineRule="auto" w:line="276"/>
              <w:jc w:val="left"/>
            </w:pPr>
            <w:r>
              <w:rPr>
                <w:rFonts w:ascii="Times New Roman" w:hAnsi="Times New Roman" w:cs="Times New Roman" w:eastAsia="Times New Roman"/>
                <w:b w:val="false"/>
                <w:sz w:val="26"/>
              </w:rPr>
              <w:t>Thông tư 19/2021/TT-BYT</w:t>
            </w:r>
          </w:p>
        </w:tc>
        <w:tc>
          <w:p/>
          <w:p>
            <w:pPr>
              <w:spacing w:after="0" w:before="0" w:lineRule="auto" w:line="276"/>
              <w:jc w:val="left"/>
            </w:pPr>
            <w:r>
              <w:rPr>
                <w:rFonts w:ascii="Times New Roman" w:hAnsi="Times New Roman" w:cs="Times New Roman" w:eastAsia="Times New Roman"/>
                <w:b w:val="false"/>
                <w:sz w:val="26"/>
              </w:rPr>
              <w:t>16-11-2021</w:t>
            </w:r>
          </w:p>
        </w:tc>
        <w:tc>
          <w:p/>
        </w:tc>
      </w:tr>
      <w:tr>
        <w:tc>
          <w:p/>
          <w:p>
            <w:pPr>
              <w:spacing w:after="0" w:before="0" w:lineRule="auto" w:line="276"/>
              <w:jc w:val="left"/>
            </w:pPr>
            <w:r>
              <w:rPr>
                <w:rFonts w:ascii="Times New Roman" w:hAnsi="Times New Roman" w:cs="Times New Roman" w:eastAsia="Times New Roman"/>
                <w:b w:val="false"/>
                <w:sz w:val="26"/>
              </w:rPr>
              <w:t>07/2023/NĐ-CP</w:t>
            </w:r>
          </w:p>
        </w:tc>
        <w:tc>
          <w:p/>
          <w:p>
            <w:pPr>
              <w:spacing w:after="0" w:before="0" w:lineRule="auto" w:line="276"/>
              <w:jc w:val="left"/>
            </w:pPr>
            <w:r>
              <w:rPr>
                <w:rFonts w:ascii="Times New Roman" w:hAnsi="Times New Roman" w:cs="Times New Roman" w:eastAsia="Times New Roman"/>
                <w:b w:val="false"/>
                <w:sz w:val="26"/>
              </w:rPr>
              <w:t>Nghị định</w:t>
            </w:r>
          </w:p>
        </w:tc>
        <w:tc>
          <w:p/>
          <w:p>
            <w:pPr>
              <w:spacing w:after="0" w:before="0" w:lineRule="auto" w:line="276"/>
              <w:jc w:val="left"/>
            </w:pPr>
            <w:r>
              <w:rPr>
                <w:rFonts w:ascii="Times New Roman" w:hAnsi="Times New Roman" w:cs="Times New Roman" w:eastAsia="Times New Roman"/>
                <w:b w:val="false"/>
                <w:sz w:val="26"/>
              </w:rPr>
              <w:t>03-03-2023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10/2023/TT-BYT</w:t>
            </w:r>
          </w:p>
        </w:tc>
        <w:tc>
          <w:p/>
          <w:p>
            <w:pPr>
              <w:spacing w:after="0" w:before="0" w:lineRule="auto" w:line="276"/>
              <w:jc w:val="left"/>
            </w:pPr>
            <w:r>
              <w:rPr>
                <w:rFonts w:ascii="Times New Roman" w:hAnsi="Times New Roman" w:cs="Times New Roman" w:eastAsia="Times New Roman"/>
                <w:b w:val="false"/>
                <w:sz w:val="26"/>
              </w:rPr>
              <w:t>Thông tư 10/2023/TT-BYT sửa đổi Thông tư 19/2021/TT-BYT</w:t>
            </w:r>
          </w:p>
        </w:tc>
        <w:tc>
          <w:p/>
          <w:p>
            <w:pPr>
              <w:spacing w:after="0" w:before="0" w:lineRule="auto" w:line="276"/>
              <w:jc w:val="left"/>
            </w:pPr>
            <w:r>
              <w:rPr>
                <w:rFonts w:ascii="Times New Roman" w:hAnsi="Times New Roman" w:cs="Times New Roman" w:eastAsia="Times New Roman"/>
                <w:b w:val="false"/>
                <w:sz w:val="26"/>
              </w:rPr>
              <w:t>11-05-2023</w:t>
            </w:r>
          </w:p>
        </w:tc>
        <w:tc>
          <w:p/>
          <w:p>
            <w:pPr>
              <w:spacing w:after="0" w:before="0" w:lineRule="auto" w:line="276"/>
              <w:jc w:val="left"/>
            </w:pPr>
            <w:r>
              <w:rPr>
                <w:rFonts w:ascii="Times New Roman" w:hAnsi="Times New Roman" w:cs="Times New Roman" w:eastAsia="Times New Roman"/>
                <w:b w:val="false"/>
                <w:sz w:val="26"/>
              </w:rPr>
              <w:t>Bộ trưởng Bộ Y tế</w:t>
            </w:r>
          </w:p>
        </w:tc>
      </w:tr>
      <w:tr>
        <w:tc>
          <w:p/>
          <w:p>
            <w:pPr>
              <w:spacing w:after="0" w:before="0" w:lineRule="auto" w:line="276"/>
              <w:jc w:val="left"/>
            </w:pPr>
            <w:r>
              <w:rPr>
                <w:rFonts w:ascii="Times New Roman" w:hAnsi="Times New Roman" w:cs="Times New Roman" w:eastAsia="Times New Roman"/>
                <w:b w:val="false"/>
                <w:sz w:val="26"/>
              </w:rPr>
              <w:t>59/2023/TT- BTC</w:t>
            </w:r>
          </w:p>
        </w:tc>
        <w:tc>
          <w:p/>
          <w:p>
            <w:pPr>
              <w:spacing w:after="0" w:before="0" w:lineRule="auto" w:line="276"/>
              <w:jc w:val="left"/>
            </w:pPr>
            <w:r>
              <w:rPr>
                <w:rFonts w:ascii="Times New Roman" w:hAnsi="Times New Roman" w:cs="Times New Roman" w:eastAsia="Times New Roman"/>
                <w:b w:val="false"/>
                <w:sz w:val="26"/>
              </w:rPr>
              <w:t>Thông tư số 59/2023/TT- BTC ngày 30/8/2023 của Bộ trưởng Bộ Tài chính về quy định mức thu, chế độ thu, nộp, quản lý và sử dụng phí trong lĩnh vực y tế</w:t>
            </w:r>
          </w:p>
        </w:tc>
        <w:tc>
          <w:p/>
          <w:p>
            <w:pPr>
              <w:spacing w:after="0" w:before="0" w:lineRule="auto" w:line="276"/>
              <w:jc w:val="left"/>
            </w:pPr>
            <w:r>
              <w:rPr>
                <w:rFonts w:ascii="Times New Roman" w:hAnsi="Times New Roman" w:cs="Times New Roman" w:eastAsia="Times New Roman"/>
                <w:b w:val="false"/>
                <w:sz w:val="26"/>
              </w:rPr>
              <w:t>30-08-2023</w:t>
            </w:r>
          </w:p>
        </w:tc>
        <w:tc>
          <w:p/>
        </w:tc>
      </w:tr>
      <w:tr>
        <w:tc>
          <w:p/>
          <w:p>
            <w:pPr>
              <w:spacing w:after="0" w:before="0" w:lineRule="auto" w:line="276"/>
              <w:jc w:val="left"/>
            </w:pPr>
            <w:r>
              <w:rPr>
                <w:rFonts w:ascii="Times New Roman" w:hAnsi="Times New Roman" w:cs="Times New Roman" w:eastAsia="Times New Roman"/>
                <w:b w:val="false"/>
                <w:sz w:val="26"/>
              </w:rPr>
              <w:t>96/2023/NĐ-CP</w:t>
            </w:r>
          </w:p>
        </w:tc>
        <w:tc>
          <w:p/>
          <w:p>
            <w:pPr>
              <w:spacing w:after="0" w:before="0" w:lineRule="auto" w:line="276"/>
              <w:jc w:val="left"/>
            </w:pPr>
            <w:r>
              <w:rPr>
                <w:rFonts w:ascii="Times New Roman" w:hAnsi="Times New Roman" w:cs="Times New Roman" w:eastAsia="Times New Roman"/>
                <w:b w:val="false"/>
                <w:sz w:val="26"/>
              </w:rPr>
              <w:t>Nghị định số 96/2023/NĐ-CP ngày 30 tháng 12 năm 2023 của Chính phủ quy định chi tiết một số điều của Luật Khám bệnh, chữa bệnh.</w:t>
            </w:r>
          </w:p>
        </w:tc>
        <w:tc>
          <w:p/>
          <w:p>
            <w:pPr>
              <w:spacing w:after="0" w:before="0" w:lineRule="auto" w:line="276"/>
              <w:jc w:val="left"/>
            </w:pPr>
            <w:r>
              <w:rPr>
                <w:rFonts w:ascii="Times New Roman" w:hAnsi="Times New Roman" w:cs="Times New Roman" w:eastAsia="Times New Roman"/>
                <w:b w:val="false"/>
                <w:sz w:val="26"/>
              </w:rPr>
              <w:t>30-12-2023</w:t>
            </w:r>
          </w:p>
        </w:tc>
        <w:tc>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đối với một số giấy tờ trong bộ hồ sơ đề nghị cấp mới số lưu hành:
a) Đối với giấy chứng nhận đạt tiêu chuẩn quản lý chất lượng: Nộp bản gốc hoặc bản sao có chứng thực hoặc bản sao có xác nhận của cơ sở đề nghị cấp số lưu hành.
Trường hợp giấy chứng nhận đạt tiêu chuẩn quản lý chất lượng không bằng tiếng Anh hoặc không bằng tiếng Việt thì phải dịch ra tiếng Việt. Bản dịch phải được chứng thực theo quy định của pháp luật.
b) Đối với giấy ủy quyền của chủ sở hữu thiết bị y tế và giấy xác nhận cơ sở đủ điều kiện bảo hành: 
- Đối với thiết bị y tế sản xuất trong nước: Nộp bản gốc hoặc bản sao có chứng thực;
- Đối với thiết bị y tế nhập khẩu: Nộp bản đã được hợp pháp hóa lãnh sự hoặc bản sao có chứng thực của bản đã được hợp pháp hóa lãnh sự.
c) Đối với giấy lưu hành: Nộp bản đã được hợp pháp hóa lãnh sự hoặc bản sao có chứng thực của bản đã được hợp pháp hóa lãnh sự.
Trường hợp giấy lưu hành không bằng tiếng Anh hoặc không bằng tiếng Việt thì phải dịch ra tiếng Việt. Bản dịch phải được chứng thực theo quy định của pháp luật.
d) Đối với giấy chứng nhận hợp quy: Nộp bản gốc hoặc bản sao có chứng thực hoặc bản sao có xác nhận của cơ sở đề nghị cấp số lưu hành.
đ) Đối với hồ sơ CSDT: Nộp bản có xác nhận của tổ chức đề nghị cấp số lưu hành. Trường hợp hồ sơ CSDT không bằng tiếng Anh hoặc không bằng tiếng Việt thì phải dịch ra tiếng Việt. Bản dịch phải được chứng thực theo quy định của pháp luật.
e) Đối với tài liệu kỹ thuật của thiết bị y tế: Nộp bản có xác nhận của tổ chức đề nghị cấp số lưu hành.
- Đối với tài liệu hướng dẫn sử dụng của thiết bị y tế: Nộp bản bằng tiếng Việt có xác nhận của tổ chức đề nghị cấp số lưu hành, kèm theo bản gốc bằng tiếng Anh do chủ sở hữu thiết bị y tế ban hành đối với thiết bị y tế nhập khẩu.
- Đối với mẫu nhãn: Nộp bản mẫu nhãn có xác nhận của tổ chức đề nghị cấp số lưu hành. Mẫu nhãn phải đáp ứng các yêu cầu theo quy định của pháp luật về nhãn hàng hóa.)
Điều 25 Nghị định số 98/2021/NĐ-CP: Điều kiện của tổ chức được đứng tên công bố tiêu chuẩn áp dụng hoặc đăng ký lưu hành thiết bị y tế
1. Tổ chức được đứng tên công bố tiêu chuẩn áp dụng hoặc đăng ký lưu hành thiết bị y tế bao gồm:
a) Doanh nghiệp, hợp tác xã, hộ kinh doanh của Việt Nam là chủ sở hữu thiết bị y tế;
b) Doanh nghiệp, hợp tác xã, hộ kinh doanh của Việt Nam được ủy quyền của chủ sở hữu thiết bị y tế;
c) Văn phòng đại diện thường trú tại Việt Nam của thương nhân nước ngoài mà thương nhân đó là chủ sở hữu thiết bị y tế hoặc được ủy quyền của chủ sở hữu thiết bị y tế.
2. Tổ chức đứng tên công bố tiêu chuẩn áp dụng hoặc đăng ký lưu hành thiết bị y tế phải có cơ sở bảo hành tại Việt Nam hoặc phải có hợp đồng với tổ chức đủ năng lực bảo hành thiết bị y tế, trừ trường hợp các thiết bị y tế sử dụng một lần theo quy định của chủ sở hữu thiết bị y tế hoặc có tài liệu chứng minh không có chế độ bảo hành.
Trường hợp tổ chức đứng tên công bố tiêu chuẩn áp dụng hoặc đăng ký lưu hành thiết bị y tế thuộc quy định tại điểm c khoản 1 Điều này thì chủ sở hữu thiết bị y tế phải có cơ sở bảo hành tại Việt Nam hoặc phải có hợp đồng với cơ sở đủ năng lực bảo hành thiết bị y tế, trừ trường hợp các thiết bị y tế sử dụng một lần theo quy định của chủ sở hữu thiết bị y tế hoặc có tài liệu chứng minh không có chế độ bảo hành.
Cơ sở bảo hành phải được chủ sở hữu thiết bị y tế chứng nhận đủ năng lực bảo hành sản phẩm.
Điều kiện để hồ sơ được xử lý ưu tiên:
Điều 32a. Ưu tiên xử lý hồ sơ đăng ký lưu hành thiết bị y tế
1. Cho phép ưu tiên xử lý trước đối với hồ sơ đăng ký lưu hành thiết bị y tế thuộc một trong các trường hợp sau đây:
a) Thiết bị y tế được sản xuất trong nước;
b) Thiết bị y tế nhập khẩu đã nộp hồ sơ đề nghị cấp giấy phép nhập khẩu thiết bị y tế về Bộ Y tế trước ngày 01 tháng 01 năm 2022 nhưng chưa được cấp giấy phép nhập khẩu và đã nộp hồ sơ đề nghị cấp giấy chứng nhận đăng ký lưu hành thiết bị y tế;
c) Hóa chất, chế phẩm chỉ có một mục đích là khử khuẩn thiết bị y tế;
d) Thiết bị y tế để thực hiện kỹ thuật mới, phương pháp mới áp dụng trong khám bệnh, chữa bệnh đã được Bộ Y tế có văn bản cho phép áp dụng chính thức nhưng chưa được cấp số lưu hành tại Việt Nam;
đ) Thiết bị y tế không thay đổi thông tin về chủng loại, mã sản phẩm trên giấy phép nhập khẩu hoặc quyết định cấp số đăng ký lưu hành hoặc giấy chứng nhận đăng ký lưu hành đã cấp còn hiệu lực nhưng thuộc một trong các trường hợp sau:
- Thay đổi về cơ sở nhập khẩu hoặc đơn vị đăng ký lưu hành;
- Thay đổi tên gọi của cơ sở sản xuất nhưng không thay đổi địa chỉ của cơ sở sản xuất;
- Thay đổi tên gọi của chủ sở hữu thiết bị y tế nhưng không thay đổi địa chỉ của chủ sở hữu thiết bị y tế;
e) Thiết bị y tế không thay đổi thông tin về chủng loại nhưng có thay đổi thông tin về mã sản phẩm do mã sản phẩm cũ đã ngừng sản xuất trên một trong các giấy tờ sau: giấy phép nhập khẩu hoặc quyết định cấp số đăng ký lưu hành hoặc giấy chứng nhận đăng ký lưu hành đã cấp còn hiệu lực;
g) Hồ sơ đăng ký lưu hành thiết bị y tế trước đó đã có văn bản yêu cầu bổ sung hoặc văn bản từ chối cấp phép của Bộ Y tế mà nội dung của văn bản chỉ liên quan đến yêu cầu cập nhật hiệu lực của một trong các giấy tờ sau: giấy ủy quyền của chủ sở hữu số lưu hành thiết bị y tế, giấy chứng nhận đạt tiêu chuẩn quản lý chất lượng ISO 13485, giấy lưu hành thiết bị y tế;
h) Hồ sơ đăng ký lưu hành thiết bị y tế trước đó đã có văn bản yêu cầu bổ sung hoặc văn bản từ chối cấp phép của Bộ Y tế mà nội dung của văn bản chỉ yêu cầu về sửa đổi, bổ sung tên gọi của thiết bị y tế.</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2025-12-02T12:14:18Z</dcterms:created>
  <dc:creator>Apache POI</dc:creator>
</cp:coreProperties>
</file>