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24D22" w:rsidRDefault="00AF6B1B">
      <w:pPr>
        <w:spacing w:after="300" w:line="276" w:lineRule="auto"/>
        <w:jc w:val="center"/>
      </w:pPr>
      <w:r>
        <w:rPr>
          <w:rFonts w:ascii="Times New Roman" w:eastAsia="Times New Roman" w:hAnsi="Times New Roman" w:cs="Times New Roman"/>
          <w:b/>
          <w:sz w:val="26"/>
        </w:rPr>
        <w:t>Chi tiết thủ tục hành chính</w:t>
      </w:r>
    </w:p>
    <w:p w:rsidR="00A24D22" w:rsidRDefault="00AF6B1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1.008396</w:t>
      </w:r>
    </w:p>
    <w:p w:rsidR="00A24D22" w:rsidRDefault="00AF6B1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3246/QĐ-BYT</w:t>
      </w:r>
    </w:p>
    <w:p w:rsidR="00A24D22" w:rsidRDefault="00AF6B1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Đánh giá định kì việc duy trì đáp ứng Thực hành tốt nuôi trồng, thu hái dược liệu và các nguyên tắc, tiêu chuẩn khai thác dược liệu tự nhiên (GACP)</w:t>
      </w:r>
    </w:p>
    <w:p w:rsidR="00A24D22" w:rsidRDefault="00AF6B1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A24D22" w:rsidRDefault="00AF6B1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A24D22" w:rsidRDefault="00AF6B1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Y Dược cổ truyền</w:t>
      </w:r>
    </w:p>
    <w:p w:rsidR="00A24D22" w:rsidRDefault="00AF6B1B">
      <w:pPr>
        <w:spacing w:after="0" w:line="276" w:lineRule="auto"/>
        <w:jc w:val="both"/>
      </w:pPr>
      <w:r>
        <w:rPr>
          <w:rFonts w:ascii="Times New Roman" w:eastAsia="Times New Roman" w:hAnsi="Times New Roman" w:cs="Times New Roman"/>
          <w:b/>
          <w:sz w:val="26"/>
        </w:rPr>
        <w:t xml:space="preserve">Trình tự thực hiện: </w:t>
      </w:r>
    </w:p>
    <w:p w:rsidR="00A24D22" w:rsidRDefault="00A24D22">
      <w:pPr>
        <w:shd w:val="clear" w:color="auto" w:fill="F2F6F9"/>
        <w:spacing w:before="120" w:after="0" w:line="276" w:lineRule="auto"/>
        <w:jc w:val="both"/>
      </w:pPr>
    </w:p>
    <w:p w:rsidR="00A24D22" w:rsidRDefault="00AF6B1B">
      <w:pPr>
        <w:spacing w:after="0" w:line="276" w:lineRule="auto"/>
        <w:jc w:val="both"/>
      </w:pPr>
      <w:r>
        <w:rPr>
          <w:rFonts w:ascii="Times New Roman" w:eastAsia="Times New Roman" w:hAnsi="Times New Roman" w:cs="Times New Roman"/>
          <w:sz w:val="26"/>
        </w:rPr>
        <w:t>Bước 1:  a, Trước thời hạn 30 ngày, kể từ ngày hết hiệu lực của Giấy chứng nhận dược liệu đạt GACP hoặc ngày hết hiệu lực đã được công bố trên Trang thông tin điện tử của Cục Quản lý Y, Dược cổ truyền, cơ sở nộp 01 bộ hồ sơ đề nghị đánh giá định kỳ việc duy trì đáp ứng GACP theo quy định tại Điều 10 Thông tư số 19/2019/TT-BYT đến cơ quan tiếp nhận b, Trường hợp cơ sở không nộp hồ sơ đánh giá định kỳ đáp ứng GACP theo thời hạn được quy định tại Khoản 1 Điều 14 Thông tư số 19/2019/TT-BYT: - Trong thời gian 15</w:t>
      </w:r>
      <w:r>
        <w:rPr>
          <w:rFonts w:ascii="Times New Roman" w:eastAsia="Times New Roman" w:hAnsi="Times New Roman" w:cs="Times New Roman"/>
          <w:sz w:val="26"/>
        </w:rPr>
        <w:t xml:space="preserve"> ngày kể từ ngày đến thời hạn hết hiệu lực của Giấy chứng nhận GACP, Cơ quan tiếp nhận có văn bản yêu cầu cơ sở thực hiện việc nộp hồ sơ đánh giá định kỳ theo quy định.  - Trong thời gian 45 ngày, kể từ ngày Cơ quan tiếp nhận có văn bản yêu cầu, cơ sở phải nộp hồ sơ đánh giá định kỳ đáp ứng GACP kèm theo giải trình về lý do chậm nộp hồ sơ. Nếu sau thời hạn này, cơ sở không nộp hồ sơ, Cơ quan tiếp nhận tiến hành kiểm tra, thanh tra việc duy trì đáp ứng GACP của cơ sở theo quy định.</w:t>
      </w:r>
    </w:p>
    <w:p w:rsidR="00A24D22" w:rsidRDefault="00AF6B1B">
      <w:pPr>
        <w:spacing w:after="0" w:line="276" w:lineRule="auto"/>
        <w:jc w:val="both"/>
      </w:pPr>
      <w:r>
        <w:rPr>
          <w:rFonts w:ascii="Times New Roman" w:eastAsia="Times New Roman" w:hAnsi="Times New Roman" w:cs="Times New Roman"/>
          <w:sz w:val="26"/>
        </w:rPr>
        <w:t>Bước 2: Sau khi nhận hồ sơ, Cơ quan tiếp nhận trả cho cơ sở đề nghị đánh giá định kì việc duy trì đáp ứng GACP Phiếu tiếp nhận hồ sơ theo Mẫu số 02 Phụ lục I ban hành kèm theo Thông tư số 19/2019/TT-BYT; a)  Trường hợp không có yêu cầu sửa đổi, bổ sung hồ sơ, cơ quan tiếp nhận tổ chức đánh giá thực tế tại cơ sở trong thời hạn 20 ngày, kể từ ngày ghi trên Phiếu tiếp nhận hồ sơ. b) Trường hợp không đủ thành phần hồ sơ theo quy định, trong thời hạn 10 ngày làm việc, cơ quan tiếp nhận đề nghị cơ sở bổ sung đủ h</w:t>
      </w:r>
      <w:r>
        <w:rPr>
          <w:rFonts w:ascii="Times New Roman" w:eastAsia="Times New Roman" w:hAnsi="Times New Roman" w:cs="Times New Roman"/>
          <w:sz w:val="26"/>
        </w:rPr>
        <w:t>ồ sơ trong trường hợp nộp trực tiép hoặc có văn bản yêu cầu cơ sở bổ sung đủ hồ sơ theo quy định trong trường hợp nộp qua bưu điện hoặc nộp trực tuyến.</w:t>
      </w:r>
    </w:p>
    <w:p w:rsidR="00A24D22" w:rsidRDefault="00AF6B1B">
      <w:pPr>
        <w:spacing w:after="0" w:line="276" w:lineRule="auto"/>
        <w:jc w:val="both"/>
      </w:pPr>
      <w:r>
        <w:rPr>
          <w:rFonts w:ascii="Times New Roman" w:eastAsia="Times New Roman" w:hAnsi="Times New Roman" w:cs="Times New Roman"/>
          <w:sz w:val="26"/>
        </w:rPr>
        <w:t>Bước 3: Sau khi cơ sở nộp hồ sơ sửa đổi, bổ sung, Cơ quan tiếp nhận trả cơ sở Phiếu tiếp nhận hồ sơ sửa đổi, bổ sung theo Mẫu số 02 Phụ lục I ban hành kèm theo Thông tư số 19/2019/TT-BYT; a) Trường hợp hồ sơ sửa đổi, bổ sung vẫn không đáp ứng yêu cầu, Cơ quan tiếp nhận tiếp tục có văn bản gửi cơ sở theo điểm b bước 2; b) Trường hợp không có yêu cầu sửa đổi, bổ sung đối với hồ sơ sửa đổi, bổ sung, Cơ quan tiếp nhận thực hiện theo điểm a bước 2.</w:t>
      </w:r>
    </w:p>
    <w:p w:rsidR="00A24D22" w:rsidRDefault="00AF6B1B">
      <w:pPr>
        <w:spacing w:after="0" w:line="276" w:lineRule="auto"/>
        <w:jc w:val="both"/>
      </w:pPr>
      <w:r>
        <w:rPr>
          <w:rFonts w:ascii="Times New Roman" w:eastAsia="Times New Roman" w:hAnsi="Times New Roman" w:cs="Times New Roman"/>
          <w:sz w:val="26"/>
        </w:rPr>
        <w:t xml:space="preserve">Bước 4: Trong thời hạn 05 ngày làm việc, kể từ ngày nhận được hồ sơ đủ thành phần, hợp lệ, Cơ quan tiếp nhận thành lập Đoàn đánh giá và gửi cho cơ sở Quyết định thành lập </w:t>
      </w:r>
      <w:r>
        <w:rPr>
          <w:rFonts w:ascii="Times New Roman" w:eastAsia="Times New Roman" w:hAnsi="Times New Roman" w:cs="Times New Roman"/>
          <w:sz w:val="26"/>
        </w:rPr>
        <w:lastRenderedPageBreak/>
        <w:t>Đoàn đánh giá trong đó có dự kiến thời gian đánh giá thực tế tại cơ sở. Trong thời hạn 15 ngày làm việc, kể từ ngày có Quyết định thành lập, Đoàn đánh giá tiến hành đánh giá thực tế việc duy trì đáp ứng GACP tại cơ sở và lập biên bản đánh giá, hoàn thiện báo cáo đánh giá.</w:t>
      </w:r>
    </w:p>
    <w:p w:rsidR="00A24D22" w:rsidRDefault="00AF6B1B">
      <w:pPr>
        <w:spacing w:after="0" w:line="276" w:lineRule="auto"/>
        <w:jc w:val="both"/>
      </w:pPr>
      <w:r>
        <w:rPr>
          <w:rFonts w:ascii="Times New Roman" w:eastAsia="Times New Roman" w:hAnsi="Times New Roman" w:cs="Times New Roman"/>
          <w:sz w:val="26"/>
        </w:rPr>
        <w:t>Bước 5:  5.1. Trường hợp báo cáo đánh giá GACP kết luận cơ sở sản xuất tuân thủ GACP ở mức độ 1 theo quy định tại điểm a khoản 4 Điều 12 Thông tư số 19/2019/TT-BYT:  - Trong thời hạn 10 ngày làm việc, kể từ ngày ký biên bản đánh giá, cơ quan tiếp nhận công bố trên Trang thông tin điện tử của cơ quan tiếp nhận kết quả đánh giá đạt GACP theo Mẫu số 06 Phụ lục I kèm theo Thông tư số 19/2019/TT-BYT. Trường hợp cơ sở có đề nghị cấp Giấy chứng nhận dược liệu đạt GACP trong Đơn đề nghị đánh giá thì cơ quan tiếp nh</w:t>
      </w:r>
      <w:r>
        <w:rPr>
          <w:rFonts w:ascii="Times New Roman" w:eastAsia="Times New Roman" w:hAnsi="Times New Roman" w:cs="Times New Roman"/>
          <w:sz w:val="26"/>
        </w:rPr>
        <w:t>ận cấp Giấy chứng nhận dược liệu đạt GACP theo Mẫu số 03 Phụ lục I kèm theo Thông tư số 19/2019/TT-BYT. 5.2. Trường hợp báo cáo đánh giá GACP kết luận cơ sở tuân thủ GACP ở mức độ 2 theo quy định tại điểm b khoản 4 Điều 12 Thông tư số 19/2019/TT-BYT: a) Trong thời hạn 05 ngày làm việc, kể từ ngày ký biên bản đánh giá, Cơ quan tiếp nhận gửi báo cáo đánh giá GACP cho cơ sở để tiến hành khắc phục, sửa chữa tồn tại và gửi báo cáo khắc phục về Cơ quan tiếp nhận; b) Trong thời hạn 30 ngày, kể từ ngày Cơ quan tiếp</w:t>
      </w:r>
      <w:r>
        <w:rPr>
          <w:rFonts w:ascii="Times New Roman" w:eastAsia="Times New Roman" w:hAnsi="Times New Roman" w:cs="Times New Roman"/>
          <w:sz w:val="26"/>
        </w:rPr>
        <w:t xml:space="preserve"> nhận gửi báo cáo đánh giá GACP, cơ sở phải có văn bản báo cáo khắc phục bao gồm kế hoạch và bằng chứng chứng minh (hồ sơ tài liệu, hình ảnh, video, giấy chứng nhận hoặc các tài liệu chứng minh khác) việc khắc phục, sửa chữa tồn tại được ghi trong báo cáo đánh giá GACP; c) Trong thời hạn 20 ngày, kể từ ngày nhận được văn bản báo cáo khắc phục, Cơ quan tiếp nhận đánh giá kết quả khắc phục của cơ sở và kết luận về tình trạng đáp ứng GACP của cơ sở: - Trường hợp việc khắc phục của cơ sở sản xuất đã đáp ứng yêu</w:t>
      </w:r>
      <w:r>
        <w:rPr>
          <w:rFonts w:ascii="Times New Roman" w:eastAsia="Times New Roman" w:hAnsi="Times New Roman" w:cs="Times New Roman"/>
          <w:sz w:val="26"/>
        </w:rPr>
        <w:t xml:space="preserve"> cầu: Cơ quan tiếp nhận cập nhật thông tin về việc duy trì đáp ứng GACP của cơ sở trên Trang thông tin điện tử của cơ quan tiếp nhận. Trường hợp cơ sở có đề nghị cấp Giấy chứng nhận dược liệu đạt GACP trong Đơn đề nghị đánh giá thì cơ quan tiếp nhận cấp Giấy chứng nhận dược liệu đạt GACP theo Mẫu số 03 Phụ lục I kèm theo Thông tư số 19/2019/TT-BYT; - Trường hợp việc khắc phục của cơ sở chưa đáp ứng yêu cầu: Cơ quan tiếp nhận có văn bản thông báo nội dung cần tiếp tục khắc phục, sửa chữa và nộp báo cáo bổ su</w:t>
      </w:r>
      <w:r>
        <w:rPr>
          <w:rFonts w:ascii="Times New Roman" w:eastAsia="Times New Roman" w:hAnsi="Times New Roman" w:cs="Times New Roman"/>
          <w:sz w:val="26"/>
        </w:rPr>
        <w:t>ng. Thời gian gia hạn để tiếp tục khắc phục, sửa chữa và báo cáo là 45 ngày, kể từ ngày có văn bản yêu cầu. d) Trong thời hạn 90 ngày, kể từ ngày ký biên bản đánh giá mà cơ sở không có báo cáo khắc phục hoặc sau khi khắc phục theo quy định tại điểm c Khoản này mà kết quả khắc phục vẫn tiếp tục không đạt yêu cầu, Cơ quan tiếp nhận ban hành văn bản thông báo về việc không đáp ứng GACP và tùy theo tính chất, mức độ vi phạm, Cơ quan tiếp nhận thực hiện một hoặc các biện pháp theo quy định tại điểm a và điểm b k</w:t>
      </w:r>
      <w:r>
        <w:rPr>
          <w:rFonts w:ascii="Times New Roman" w:eastAsia="Times New Roman" w:hAnsi="Times New Roman" w:cs="Times New Roman"/>
          <w:sz w:val="26"/>
        </w:rPr>
        <w:t xml:space="preserve">hoản 3 Điều 15 Thông tư số 19/2019/TT-BYT 5.3. Trường hợp báo cáo đánh giá GACP kết luận cơ sở sản xuất tuân thủ GACP mức độ 3 theo quy định tại điểm c khoản 4 Điều 12 Thông tư số 19/2019/TT-BYT, tùy theo tính chất, mức độ vi phạm,trong thời hạn 10 ngày làm việc, kể từ ngày ban hành báo cáo đánh giá, Cơ quan tiếp nhận thực hiện một hoặc các biện pháp: a) Ra Quyết định thu hồi Giấy chứng nhận dược liệu đạt </w:t>
      </w:r>
      <w:r>
        <w:rPr>
          <w:rFonts w:ascii="Times New Roman" w:eastAsia="Times New Roman" w:hAnsi="Times New Roman" w:cs="Times New Roman"/>
          <w:sz w:val="26"/>
        </w:rPr>
        <w:lastRenderedPageBreak/>
        <w:t xml:space="preserve">GACP đã cấp và bãi bỏ nội dung công bố kết quả đánh giá đạt GACP đã đăng tải trên Trang thông tin điện </w:t>
      </w:r>
      <w:r>
        <w:rPr>
          <w:rFonts w:ascii="Times New Roman" w:eastAsia="Times New Roman" w:hAnsi="Times New Roman" w:cs="Times New Roman"/>
          <w:sz w:val="26"/>
        </w:rPr>
        <w:t>tử của cơ quan tiếp nhận; b) Xử phạt vi phạm hành chính theo quy định của pháp luật về xử lý vi phạm hành chính.</w:t>
      </w:r>
    </w:p>
    <w:p w:rsidR="00A24D22" w:rsidRDefault="00AF6B1B">
      <w:pPr>
        <w:spacing w:after="0" w:line="276" w:lineRule="auto"/>
        <w:jc w:val="both"/>
      </w:pPr>
      <w:r>
        <w:rPr>
          <w:rFonts w:ascii="Times New Roman" w:eastAsia="Times New Roman" w:hAnsi="Times New Roman" w:cs="Times New Roman"/>
          <w:sz w:val="26"/>
        </w:rPr>
        <w:t>Bước 6: Trong thời hạn 05 ngày làm việc, kể từ ngày có kết luận cơ sở đáp ứng việc duy trì GACP hoặc từ ngày ban hành Quyết định thu hồi Giấy chứng dược liệu đạt GACP do cơ sở không duy trì đáp ứng GACP, Cơ quan tiếp nhận cập nhật tình trạng đáp ứng hoặc không đáp ứng GACP trên Trang Thông tin điện tử của cơ quan tiếp nhận đối với cơ sở đáp ứng GACP hoặc thông tin đối với cơ sở không duy trì đáp ứng GACP.</w:t>
      </w:r>
    </w:p>
    <w:p w:rsidR="00A24D22" w:rsidRDefault="00AF6B1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141"/>
        <w:gridCol w:w="1185"/>
        <w:gridCol w:w="5663"/>
        <w:gridCol w:w="1436"/>
      </w:tblGrid>
      <w:tr w:rsidR="00A24D22">
        <w:tblPrEx>
          <w:tblCellMar>
            <w:top w:w="0" w:type="dxa"/>
            <w:bottom w:w="0" w:type="dxa"/>
          </w:tblCellMar>
        </w:tblPrEx>
        <w:tc>
          <w:tcPr>
            <w:tcW w:w="1500" w:type="dxa"/>
          </w:tcPr>
          <w:p w:rsidR="00A24D22" w:rsidRDefault="00A24D22"/>
          <w:p w:rsidR="00A24D22" w:rsidRDefault="00AF6B1B">
            <w:pPr>
              <w:spacing w:after="0" w:line="276" w:lineRule="auto"/>
              <w:jc w:val="center"/>
            </w:pPr>
            <w:r>
              <w:rPr>
                <w:rFonts w:ascii="Times New Roman" w:eastAsia="Times New Roman" w:hAnsi="Times New Roman" w:cs="Times New Roman"/>
                <w:b/>
                <w:sz w:val="26"/>
              </w:rPr>
              <w:t>Hình thức nộp</w:t>
            </w:r>
          </w:p>
        </w:tc>
        <w:tc>
          <w:tcPr>
            <w:tcW w:w="2000" w:type="dxa"/>
          </w:tcPr>
          <w:p w:rsidR="00A24D22" w:rsidRDefault="00A24D22"/>
          <w:p w:rsidR="00A24D22" w:rsidRDefault="00AF6B1B">
            <w:pPr>
              <w:spacing w:after="0" w:line="276" w:lineRule="auto"/>
              <w:jc w:val="center"/>
            </w:pPr>
            <w:r>
              <w:rPr>
                <w:rFonts w:ascii="Times New Roman" w:eastAsia="Times New Roman" w:hAnsi="Times New Roman" w:cs="Times New Roman"/>
                <w:b/>
                <w:sz w:val="26"/>
              </w:rPr>
              <w:t>Thời hạn giải quyết</w:t>
            </w:r>
          </w:p>
        </w:tc>
        <w:tc>
          <w:tcPr>
            <w:tcW w:w="3500" w:type="dxa"/>
          </w:tcPr>
          <w:p w:rsidR="00A24D22" w:rsidRDefault="00A24D22"/>
          <w:p w:rsidR="00A24D22" w:rsidRDefault="00AF6B1B">
            <w:pPr>
              <w:spacing w:after="0" w:line="276" w:lineRule="auto"/>
              <w:jc w:val="center"/>
            </w:pPr>
            <w:r>
              <w:rPr>
                <w:rFonts w:ascii="Times New Roman" w:eastAsia="Times New Roman" w:hAnsi="Times New Roman" w:cs="Times New Roman"/>
                <w:b/>
                <w:sz w:val="26"/>
              </w:rPr>
              <w:t>Phí, lệ phí</w:t>
            </w:r>
          </w:p>
        </w:tc>
        <w:tc>
          <w:tcPr>
            <w:tcW w:w="3000" w:type="dxa"/>
          </w:tcPr>
          <w:p w:rsidR="00A24D22" w:rsidRDefault="00A24D22"/>
          <w:p w:rsidR="00A24D22" w:rsidRDefault="00AF6B1B">
            <w:pPr>
              <w:spacing w:after="0" w:line="276" w:lineRule="auto"/>
              <w:jc w:val="center"/>
            </w:pPr>
            <w:r>
              <w:rPr>
                <w:rFonts w:ascii="Times New Roman" w:eastAsia="Times New Roman" w:hAnsi="Times New Roman" w:cs="Times New Roman"/>
                <w:b/>
                <w:sz w:val="26"/>
              </w:rPr>
              <w:t>Mô tả</w:t>
            </w:r>
          </w:p>
        </w:tc>
      </w:tr>
      <w:tr w:rsidR="00A24D22">
        <w:tblPrEx>
          <w:tblCellMar>
            <w:top w:w="0" w:type="dxa"/>
            <w:bottom w:w="0" w:type="dxa"/>
          </w:tblCellMar>
        </w:tblPrEx>
        <w:tc>
          <w:tcPr>
            <w:tcW w:w="0" w:type="auto"/>
          </w:tcPr>
          <w:p w:rsidR="00A24D22" w:rsidRDefault="00A24D22"/>
          <w:p w:rsidR="00A24D22" w:rsidRDefault="00AF6B1B">
            <w:pPr>
              <w:spacing w:after="0" w:line="276" w:lineRule="auto"/>
            </w:pPr>
            <w:r>
              <w:rPr>
                <w:rFonts w:ascii="Times New Roman" w:eastAsia="Times New Roman" w:hAnsi="Times New Roman" w:cs="Times New Roman"/>
                <w:sz w:val="26"/>
              </w:rPr>
              <w:t>Trực tiếp</w:t>
            </w:r>
          </w:p>
        </w:tc>
        <w:tc>
          <w:tcPr>
            <w:tcW w:w="0" w:type="auto"/>
          </w:tcPr>
          <w:p w:rsidR="00A24D22" w:rsidRDefault="00A24D22"/>
          <w:p w:rsidR="00A24D22" w:rsidRDefault="00AF6B1B">
            <w:pPr>
              <w:spacing w:after="0" w:line="276" w:lineRule="auto"/>
            </w:pPr>
            <w:r>
              <w:rPr>
                <w:rFonts w:ascii="Times New Roman" w:eastAsia="Times New Roman" w:hAnsi="Times New Roman" w:cs="Times New Roman"/>
                <w:sz w:val="26"/>
              </w:rPr>
              <w:t>30 Ngày</w:t>
            </w:r>
          </w:p>
        </w:tc>
        <w:tc>
          <w:tcPr>
            <w:tcW w:w="0" w:type="auto"/>
          </w:tcPr>
          <w:p w:rsidR="00A24D22" w:rsidRDefault="00A24D22"/>
          <w:p w:rsidR="00A24D22" w:rsidRDefault="00AF6B1B">
            <w:pPr>
              <w:spacing w:after="0" w:line="276" w:lineRule="auto"/>
            </w:pPr>
            <w:r>
              <w:rPr>
                <w:rFonts w:ascii="Times New Roman" w:eastAsia="Times New Roman" w:hAnsi="Times New Roman" w:cs="Times New Roman"/>
                <w:sz w:val="26"/>
              </w:rPr>
              <w:t>Phí : 9.000.000 VNĐ/hồ sơ Đồng</w:t>
            </w:r>
            <w:r>
              <w:rPr>
                <w:rFonts w:ascii="Times New Roman" w:eastAsia="Times New Roman" w:hAnsi="Times New Roman" w:cs="Times New Roman"/>
                <w:sz w:val="26"/>
              </w:rPr>
              <w:t xml:space="preserve"> (- Phí thẩm định, đánh giá định kỳ việc duy trì đáp ứng GACP: 9.000.000 VNĐ/hồ sơ)</w:t>
            </w:r>
          </w:p>
        </w:tc>
        <w:tc>
          <w:tcPr>
            <w:tcW w:w="0" w:type="auto"/>
          </w:tcPr>
          <w:p w:rsidR="00A24D22" w:rsidRDefault="00A24D22"/>
        </w:tc>
      </w:tr>
      <w:tr w:rsidR="00A24D22">
        <w:tblPrEx>
          <w:tblCellMar>
            <w:top w:w="0" w:type="dxa"/>
            <w:bottom w:w="0" w:type="dxa"/>
          </w:tblCellMar>
        </w:tblPrEx>
        <w:tc>
          <w:tcPr>
            <w:tcW w:w="0" w:type="auto"/>
          </w:tcPr>
          <w:p w:rsidR="00A24D22" w:rsidRDefault="00A24D22"/>
          <w:p w:rsidR="00A24D22" w:rsidRDefault="00AF6B1B">
            <w:pPr>
              <w:spacing w:after="0" w:line="276" w:lineRule="auto"/>
            </w:pPr>
            <w:r>
              <w:rPr>
                <w:rFonts w:ascii="Times New Roman" w:eastAsia="Times New Roman" w:hAnsi="Times New Roman" w:cs="Times New Roman"/>
                <w:sz w:val="26"/>
              </w:rPr>
              <w:t>Dịch vụ bưu chính</w:t>
            </w:r>
          </w:p>
        </w:tc>
        <w:tc>
          <w:tcPr>
            <w:tcW w:w="0" w:type="auto"/>
          </w:tcPr>
          <w:p w:rsidR="00A24D22" w:rsidRDefault="00A24D22"/>
          <w:p w:rsidR="00A24D22" w:rsidRDefault="00AF6B1B">
            <w:pPr>
              <w:spacing w:after="0" w:line="276" w:lineRule="auto"/>
            </w:pPr>
            <w:r>
              <w:rPr>
                <w:rFonts w:ascii="Times New Roman" w:eastAsia="Times New Roman" w:hAnsi="Times New Roman" w:cs="Times New Roman"/>
                <w:sz w:val="26"/>
              </w:rPr>
              <w:t>30 Ngày</w:t>
            </w:r>
          </w:p>
        </w:tc>
        <w:tc>
          <w:tcPr>
            <w:tcW w:w="0" w:type="auto"/>
          </w:tcPr>
          <w:p w:rsidR="00A24D22" w:rsidRDefault="00A24D22"/>
          <w:p w:rsidR="00A24D22" w:rsidRDefault="00AF6B1B">
            <w:pPr>
              <w:spacing w:after="0" w:line="276" w:lineRule="auto"/>
            </w:pPr>
            <w:r>
              <w:rPr>
                <w:rFonts w:ascii="Times New Roman" w:eastAsia="Times New Roman" w:hAnsi="Times New Roman" w:cs="Times New Roman"/>
                <w:sz w:val="26"/>
              </w:rPr>
              <w:t>Phí : 9.000.000 VNĐ/hồ sơ Đồng</w:t>
            </w:r>
            <w:r>
              <w:rPr>
                <w:rFonts w:ascii="Times New Roman" w:eastAsia="Times New Roman" w:hAnsi="Times New Roman" w:cs="Times New Roman"/>
                <w:sz w:val="26"/>
              </w:rPr>
              <w:t xml:space="preserve"> (- Phí thẩm định, đánh giá định kỳ việc duy trì đáp ứng GACP: 9.000.000 VNĐ/hồ sơ)</w:t>
            </w:r>
          </w:p>
        </w:tc>
        <w:tc>
          <w:tcPr>
            <w:tcW w:w="0" w:type="auto"/>
          </w:tcPr>
          <w:p w:rsidR="00A24D22" w:rsidRDefault="00A24D22"/>
        </w:tc>
      </w:tr>
    </w:tbl>
    <w:p w:rsidR="00A24D22" w:rsidRDefault="00AF6B1B">
      <w:pPr>
        <w:spacing w:before="240" w:after="0" w:line="276" w:lineRule="auto"/>
        <w:jc w:val="both"/>
      </w:pPr>
      <w:r>
        <w:rPr>
          <w:rFonts w:ascii="Times New Roman" w:eastAsia="Times New Roman" w:hAnsi="Times New Roman" w:cs="Times New Roman"/>
          <w:b/>
          <w:sz w:val="26"/>
        </w:rPr>
        <w:t xml:space="preserve">Thành phần hồ sơ: </w:t>
      </w:r>
    </w:p>
    <w:p w:rsidR="00A24D22" w:rsidRDefault="00AF6B1B">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51"/>
        <w:gridCol w:w="1177"/>
        <w:gridCol w:w="997"/>
      </w:tblGrid>
      <w:tr w:rsidR="00A24D22">
        <w:tblPrEx>
          <w:tblCellMar>
            <w:top w:w="0" w:type="dxa"/>
            <w:bottom w:w="0" w:type="dxa"/>
          </w:tblCellMar>
        </w:tblPrEx>
        <w:tc>
          <w:tcPr>
            <w:tcW w:w="6000" w:type="dxa"/>
          </w:tcPr>
          <w:p w:rsidR="00A24D22" w:rsidRDefault="00A24D22"/>
          <w:p w:rsidR="00A24D22" w:rsidRDefault="00AF6B1B">
            <w:pPr>
              <w:spacing w:after="0" w:line="276" w:lineRule="auto"/>
              <w:jc w:val="center"/>
            </w:pPr>
            <w:r>
              <w:rPr>
                <w:rFonts w:ascii="Times New Roman" w:eastAsia="Times New Roman" w:hAnsi="Times New Roman" w:cs="Times New Roman"/>
                <w:b/>
                <w:sz w:val="26"/>
              </w:rPr>
              <w:t>Tên giấy tờ</w:t>
            </w:r>
          </w:p>
        </w:tc>
        <w:tc>
          <w:tcPr>
            <w:tcW w:w="2000" w:type="dxa"/>
          </w:tcPr>
          <w:p w:rsidR="00A24D22" w:rsidRDefault="00A24D22"/>
          <w:p w:rsidR="00A24D22" w:rsidRDefault="00AF6B1B">
            <w:pPr>
              <w:spacing w:after="0" w:line="276" w:lineRule="auto"/>
              <w:jc w:val="center"/>
            </w:pPr>
            <w:r>
              <w:rPr>
                <w:rFonts w:ascii="Times New Roman" w:eastAsia="Times New Roman" w:hAnsi="Times New Roman" w:cs="Times New Roman"/>
                <w:b/>
                <w:sz w:val="26"/>
              </w:rPr>
              <w:t>Mẫu đơn, tờ khai</w:t>
            </w:r>
          </w:p>
        </w:tc>
        <w:tc>
          <w:tcPr>
            <w:tcW w:w="2000" w:type="dxa"/>
          </w:tcPr>
          <w:p w:rsidR="00A24D22" w:rsidRDefault="00A24D22"/>
          <w:p w:rsidR="00A24D22" w:rsidRDefault="00AF6B1B">
            <w:pPr>
              <w:spacing w:after="0" w:line="276" w:lineRule="auto"/>
              <w:jc w:val="center"/>
            </w:pPr>
            <w:r>
              <w:rPr>
                <w:rFonts w:ascii="Times New Roman" w:eastAsia="Times New Roman" w:hAnsi="Times New Roman" w:cs="Times New Roman"/>
                <w:b/>
                <w:sz w:val="26"/>
              </w:rPr>
              <w:t>Số lượng</w:t>
            </w:r>
          </w:p>
        </w:tc>
      </w:tr>
      <w:tr w:rsidR="00A24D22">
        <w:tblPrEx>
          <w:tblCellMar>
            <w:top w:w="0" w:type="dxa"/>
            <w:bottom w:w="0" w:type="dxa"/>
          </w:tblCellMar>
        </w:tblPrEx>
        <w:tc>
          <w:tcPr>
            <w:tcW w:w="0" w:type="auto"/>
          </w:tcPr>
          <w:p w:rsidR="00A24D22" w:rsidRDefault="00A24D22"/>
          <w:p w:rsidR="00A24D22" w:rsidRDefault="00AF6B1B">
            <w:pPr>
              <w:spacing w:after="0" w:line="276" w:lineRule="auto"/>
            </w:pPr>
            <w:r>
              <w:rPr>
                <w:rFonts w:ascii="Times New Roman" w:eastAsia="Times New Roman" w:hAnsi="Times New Roman" w:cs="Times New Roman"/>
                <w:sz w:val="26"/>
              </w:rPr>
              <w:t>Đơn đề nghị đánh giá định kỳ việc duy trì đáp ứng GACP theo Mẫu số 1B Phụ lục I Thông tư số 19/2019/TT-BYT;</w:t>
            </w:r>
          </w:p>
        </w:tc>
        <w:tc>
          <w:tcPr>
            <w:tcW w:w="0" w:type="auto"/>
          </w:tcPr>
          <w:p w:rsidR="00A24D22" w:rsidRDefault="00A24D22"/>
          <w:p w:rsidR="00A24D22" w:rsidRDefault="00AF6B1B">
            <w:pPr>
              <w:spacing w:after="0" w:line="276" w:lineRule="auto"/>
            </w:pPr>
            <w:r>
              <w:rPr>
                <w:rFonts w:ascii="Times New Roman" w:eastAsia="Times New Roman" w:hAnsi="Times New Roman" w:cs="Times New Roman"/>
                <w:sz w:val="26"/>
              </w:rPr>
              <w:t>phụ lục.docx</w:t>
            </w:r>
          </w:p>
        </w:tc>
        <w:tc>
          <w:tcPr>
            <w:tcW w:w="0" w:type="auto"/>
          </w:tcPr>
          <w:p w:rsidR="00A24D22" w:rsidRDefault="00A24D22"/>
          <w:p w:rsidR="00A24D22" w:rsidRDefault="00AF6B1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24D22">
        <w:tblPrEx>
          <w:tblCellMar>
            <w:top w:w="0" w:type="dxa"/>
            <w:bottom w:w="0" w:type="dxa"/>
          </w:tblCellMar>
        </w:tblPrEx>
        <w:tc>
          <w:tcPr>
            <w:tcW w:w="0" w:type="auto"/>
          </w:tcPr>
          <w:p w:rsidR="00A24D22" w:rsidRDefault="00A24D22"/>
          <w:p w:rsidR="00A24D22" w:rsidRDefault="00AF6B1B">
            <w:pPr>
              <w:spacing w:after="0" w:line="276" w:lineRule="auto"/>
            </w:pPr>
            <w:r>
              <w:rPr>
                <w:rFonts w:ascii="Times New Roman" w:eastAsia="Times New Roman" w:hAnsi="Times New Roman" w:cs="Times New Roman"/>
                <w:sz w:val="26"/>
              </w:rPr>
              <w:t>Báo cáo hoạt động của cơ sở sau ba năm thực hiện GACP theo Mẫu số 5A Phụ lục I Thông tư số 19/2019/TT-BYT. Trong báo cáo cần thể hiện rõ những thay đổi trong quá trình hoạt động có ảnh hưởng đến sự duy trì và tuân thủ GACP (nếu có);</w:t>
            </w:r>
          </w:p>
        </w:tc>
        <w:tc>
          <w:tcPr>
            <w:tcW w:w="0" w:type="auto"/>
          </w:tcPr>
          <w:p w:rsidR="00A24D22" w:rsidRDefault="00A24D22"/>
        </w:tc>
        <w:tc>
          <w:tcPr>
            <w:tcW w:w="0" w:type="auto"/>
          </w:tcPr>
          <w:p w:rsidR="00A24D22" w:rsidRDefault="00A24D22"/>
          <w:p w:rsidR="00A24D22" w:rsidRDefault="00AF6B1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A24D22" w:rsidRDefault="00AF6B1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rsidR="00A24D22" w:rsidRDefault="00AF6B1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Y, Dược cổ truyền - Bộ Y tế</w:t>
      </w:r>
    </w:p>
    <w:p w:rsidR="00A24D22" w:rsidRDefault="00AF6B1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A24D22" w:rsidRDefault="00AF6B1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A24D22" w:rsidRDefault="00AF6B1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A24D22" w:rsidRDefault="00AF6B1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A24D22" w:rsidRDefault="00AF6B1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dược liệu đạt GACP</w:t>
      </w:r>
    </w:p>
    <w:p w:rsidR="00A24D22" w:rsidRDefault="00AF6B1B">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173"/>
        <w:gridCol w:w="3238"/>
        <w:gridCol w:w="1368"/>
        <w:gridCol w:w="2646"/>
      </w:tblGrid>
      <w:tr w:rsidR="00A24D22">
        <w:tblPrEx>
          <w:tblCellMar>
            <w:top w:w="0" w:type="dxa"/>
            <w:bottom w:w="0" w:type="dxa"/>
          </w:tblCellMar>
        </w:tblPrEx>
        <w:tc>
          <w:tcPr>
            <w:tcW w:w="2000" w:type="dxa"/>
          </w:tcPr>
          <w:p w:rsidR="00A24D22" w:rsidRDefault="00A24D22"/>
          <w:p w:rsidR="00A24D22" w:rsidRDefault="00AF6B1B">
            <w:pPr>
              <w:spacing w:after="0" w:line="276" w:lineRule="auto"/>
              <w:jc w:val="center"/>
            </w:pPr>
            <w:r>
              <w:rPr>
                <w:rFonts w:ascii="Times New Roman" w:eastAsia="Times New Roman" w:hAnsi="Times New Roman" w:cs="Times New Roman"/>
                <w:b/>
                <w:sz w:val="26"/>
              </w:rPr>
              <w:t>Số ký hiệu</w:t>
            </w:r>
          </w:p>
        </w:tc>
        <w:tc>
          <w:tcPr>
            <w:tcW w:w="3500" w:type="dxa"/>
          </w:tcPr>
          <w:p w:rsidR="00A24D22" w:rsidRDefault="00A24D22"/>
          <w:p w:rsidR="00A24D22" w:rsidRDefault="00AF6B1B">
            <w:pPr>
              <w:spacing w:after="0" w:line="276" w:lineRule="auto"/>
              <w:jc w:val="center"/>
            </w:pPr>
            <w:r>
              <w:rPr>
                <w:rFonts w:ascii="Times New Roman" w:eastAsia="Times New Roman" w:hAnsi="Times New Roman" w:cs="Times New Roman"/>
                <w:b/>
                <w:sz w:val="26"/>
              </w:rPr>
              <w:t>Trích yếu</w:t>
            </w:r>
          </w:p>
        </w:tc>
        <w:tc>
          <w:tcPr>
            <w:tcW w:w="1500" w:type="dxa"/>
          </w:tcPr>
          <w:p w:rsidR="00A24D22" w:rsidRDefault="00A24D22"/>
          <w:p w:rsidR="00A24D22" w:rsidRDefault="00AF6B1B">
            <w:pPr>
              <w:spacing w:after="0" w:line="276" w:lineRule="auto"/>
              <w:jc w:val="center"/>
            </w:pPr>
            <w:r>
              <w:rPr>
                <w:rFonts w:ascii="Times New Roman" w:eastAsia="Times New Roman" w:hAnsi="Times New Roman" w:cs="Times New Roman"/>
                <w:b/>
                <w:sz w:val="26"/>
              </w:rPr>
              <w:t>Ngày ban hành</w:t>
            </w:r>
          </w:p>
        </w:tc>
        <w:tc>
          <w:tcPr>
            <w:tcW w:w="3000" w:type="dxa"/>
          </w:tcPr>
          <w:p w:rsidR="00A24D22" w:rsidRDefault="00A24D22"/>
          <w:p w:rsidR="00A24D22" w:rsidRDefault="00AF6B1B">
            <w:pPr>
              <w:spacing w:after="0" w:line="276" w:lineRule="auto"/>
              <w:jc w:val="center"/>
            </w:pPr>
            <w:r>
              <w:rPr>
                <w:rFonts w:ascii="Times New Roman" w:eastAsia="Times New Roman" w:hAnsi="Times New Roman" w:cs="Times New Roman"/>
                <w:b/>
                <w:sz w:val="26"/>
              </w:rPr>
              <w:t>Cơ quan ban hành</w:t>
            </w:r>
          </w:p>
        </w:tc>
      </w:tr>
      <w:tr w:rsidR="00A24D22">
        <w:tblPrEx>
          <w:tblCellMar>
            <w:top w:w="0" w:type="dxa"/>
            <w:bottom w:w="0" w:type="dxa"/>
          </w:tblCellMar>
        </w:tblPrEx>
        <w:tc>
          <w:tcPr>
            <w:tcW w:w="0" w:type="auto"/>
          </w:tcPr>
          <w:p w:rsidR="00A24D22" w:rsidRDefault="00A24D22"/>
          <w:p w:rsidR="00A24D22" w:rsidRDefault="00AF6B1B">
            <w:pPr>
              <w:spacing w:after="0" w:line="276" w:lineRule="auto"/>
            </w:pPr>
            <w:r>
              <w:rPr>
                <w:rFonts w:ascii="Times New Roman" w:eastAsia="Times New Roman" w:hAnsi="Times New Roman" w:cs="Times New Roman"/>
                <w:sz w:val="26"/>
              </w:rPr>
              <w:t>Luật 105/2016/QH13</w:t>
            </w:r>
          </w:p>
        </w:tc>
        <w:tc>
          <w:tcPr>
            <w:tcW w:w="0" w:type="auto"/>
          </w:tcPr>
          <w:p w:rsidR="00A24D22" w:rsidRDefault="00A24D22"/>
          <w:p w:rsidR="00A24D22" w:rsidRDefault="00AF6B1B">
            <w:pPr>
              <w:spacing w:after="0" w:line="276" w:lineRule="auto"/>
            </w:pPr>
            <w:r>
              <w:rPr>
                <w:rFonts w:ascii="Times New Roman" w:eastAsia="Times New Roman" w:hAnsi="Times New Roman" w:cs="Times New Roman"/>
                <w:sz w:val="26"/>
              </w:rPr>
              <w:t>105/2016/QH13 Dược</w:t>
            </w:r>
          </w:p>
        </w:tc>
        <w:tc>
          <w:tcPr>
            <w:tcW w:w="0" w:type="auto"/>
          </w:tcPr>
          <w:p w:rsidR="00A24D22" w:rsidRDefault="00A24D22"/>
          <w:p w:rsidR="00A24D22" w:rsidRDefault="00AF6B1B">
            <w:pPr>
              <w:spacing w:after="0" w:line="276" w:lineRule="auto"/>
            </w:pPr>
            <w:r>
              <w:rPr>
                <w:rFonts w:ascii="Times New Roman" w:eastAsia="Times New Roman" w:hAnsi="Times New Roman" w:cs="Times New Roman"/>
                <w:sz w:val="26"/>
              </w:rPr>
              <w:t>06-04-2016</w:t>
            </w:r>
          </w:p>
        </w:tc>
        <w:tc>
          <w:tcPr>
            <w:tcW w:w="0" w:type="auto"/>
          </w:tcPr>
          <w:p w:rsidR="00A24D22" w:rsidRDefault="00A24D22"/>
          <w:p w:rsidR="00A24D22" w:rsidRDefault="00AF6B1B">
            <w:pPr>
              <w:spacing w:after="0" w:line="276" w:lineRule="auto"/>
            </w:pPr>
            <w:r>
              <w:rPr>
                <w:rFonts w:ascii="Times New Roman" w:eastAsia="Times New Roman" w:hAnsi="Times New Roman" w:cs="Times New Roman"/>
                <w:sz w:val="26"/>
              </w:rPr>
              <w:t>Quốc Hội</w:t>
            </w:r>
          </w:p>
        </w:tc>
      </w:tr>
      <w:tr w:rsidR="00A24D22">
        <w:tblPrEx>
          <w:tblCellMar>
            <w:top w:w="0" w:type="dxa"/>
            <w:bottom w:w="0" w:type="dxa"/>
          </w:tblCellMar>
        </w:tblPrEx>
        <w:tc>
          <w:tcPr>
            <w:tcW w:w="0" w:type="auto"/>
          </w:tcPr>
          <w:p w:rsidR="00A24D22" w:rsidRDefault="00A24D22"/>
          <w:p w:rsidR="00A24D22" w:rsidRDefault="00AF6B1B">
            <w:pPr>
              <w:spacing w:after="0" w:line="276" w:lineRule="auto"/>
            </w:pPr>
            <w:r>
              <w:rPr>
                <w:rFonts w:ascii="Times New Roman" w:eastAsia="Times New Roman" w:hAnsi="Times New Roman" w:cs="Times New Roman"/>
                <w:sz w:val="26"/>
              </w:rPr>
              <w:t>277/2016/TT-BTC</w:t>
            </w:r>
          </w:p>
        </w:tc>
        <w:tc>
          <w:tcPr>
            <w:tcW w:w="0" w:type="auto"/>
          </w:tcPr>
          <w:p w:rsidR="00A24D22" w:rsidRDefault="00A24D22"/>
          <w:p w:rsidR="00A24D22" w:rsidRDefault="00AF6B1B">
            <w:pPr>
              <w:spacing w:after="0" w:line="276" w:lineRule="auto"/>
            </w:pPr>
            <w:r>
              <w:rPr>
                <w:rFonts w:ascii="Times New Roman" w:eastAsia="Times New Roman" w:hAnsi="Times New Roman" w:cs="Times New Roman"/>
                <w:sz w:val="26"/>
              </w:rPr>
              <w:t>Thông tư 277/2016/TT-BTC</w:t>
            </w:r>
          </w:p>
        </w:tc>
        <w:tc>
          <w:tcPr>
            <w:tcW w:w="0" w:type="auto"/>
          </w:tcPr>
          <w:p w:rsidR="00A24D22" w:rsidRDefault="00A24D22"/>
          <w:p w:rsidR="00A24D22" w:rsidRDefault="00AF6B1B">
            <w:pPr>
              <w:spacing w:after="0" w:line="276" w:lineRule="auto"/>
            </w:pPr>
            <w:r>
              <w:rPr>
                <w:rFonts w:ascii="Times New Roman" w:eastAsia="Times New Roman" w:hAnsi="Times New Roman" w:cs="Times New Roman"/>
                <w:sz w:val="26"/>
              </w:rPr>
              <w:t>14-11-2016</w:t>
            </w:r>
          </w:p>
        </w:tc>
        <w:tc>
          <w:tcPr>
            <w:tcW w:w="0" w:type="auto"/>
          </w:tcPr>
          <w:p w:rsidR="00A24D22" w:rsidRDefault="00A24D22"/>
        </w:tc>
      </w:tr>
    </w:tbl>
    <w:p w:rsidR="00A24D22" w:rsidRDefault="00AF6B1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Điều 8. Các trường hợp đánh giá, đánh giá duy trì, đánh giá thay đổi, bổ sung, thu hồi Giấy chứng nhận dược liệu đạt GACP và hiệu lực của Giấy chứng nhận dược liệu đạt GACP 2. Cơ sở đề nghị đánh giá duy trì đáp ứng GACP khi hết hạn hiệu lực đã được công bố trên Trang thông tin điện tử của Cục Quản lý Y, Dược cổ truyền hoặc Giấy chứng nhận dược liệu đạt GACP hết hiệu lực.</w:t>
      </w:r>
    </w:p>
    <w:p w:rsidR="00A24D22" w:rsidRDefault="00AF6B1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A24D22" w:rsidRDefault="00AF6B1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https://thutuc.dichvucong.gov.vn/p/home/dvc-tthc-thu-tuc-hanh-chinh-chi-tiet.html?ma_thu_tuc=230155</w:t>
      </w:r>
    </w:p>
    <w:sectPr w:rsidR="00A24D2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24D22"/>
    <w:rsid w:val="0096084C"/>
    <w:rsid w:val="00A24D22"/>
    <w:rsid w:val="00AF6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8BD498F-788D-487E-9BD4-76D577BD2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1244</Words>
  <Characters>7094</Characters>
  <Application>Microsoft Office Word</Application>
  <DocSecurity>0</DocSecurity>
  <Lines>59</Lines>
  <Paragraphs>16</Paragraphs>
  <ScaleCrop>false</ScaleCrop>
  <Company/>
  <LinksUpToDate>false</LinksUpToDate>
  <CharactersWithSpaces>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2025-12-02T12:15:00Z</dcterms:created>
  <dcterms:modified xsi:type="dcterms:W3CDTF">2025-12-02T12:15:00Z</dcterms:modified>
</cp:coreProperties>
</file>