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2A25" w:rsidRDefault="0068011A">
      <w:pPr>
        <w:spacing w:after="300" w:line="276" w:lineRule="auto"/>
        <w:jc w:val="center"/>
      </w:pPr>
      <w:r>
        <w:rPr>
          <w:rFonts w:ascii="Times New Roman" w:eastAsia="Times New Roman" w:hAnsi="Times New Roman" w:cs="Times New Roman"/>
          <w:b/>
          <w:sz w:val="26"/>
        </w:rPr>
        <w:t>Chi tiết thủ tục hành chính</w:t>
      </w:r>
    </w:p>
    <w:p w:rsidR="00B62A25" w:rsidRDefault="0068011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1.012257</w:t>
      </w:r>
    </w:p>
    <w:p w:rsidR="00B62A25" w:rsidRDefault="0068011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rsidR="00B62A25" w:rsidRDefault="0068011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tổ chức hoạt động khám bệnh, chữa bệnh nhân đạo theo đợt, khám bệnh, chữa bệnh lưu động thuộc trường hợp quy định tại khoản 1 Điều 79 của Luật Khám bệnh, chữa bệnh hoặc cá nhân khám bệnh, chữa bệnh nhân đạo</w:t>
      </w:r>
    </w:p>
    <w:p w:rsidR="00B62A25" w:rsidRDefault="0068011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B62A25" w:rsidRDefault="0068011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62A25" w:rsidRDefault="0068011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B62A25" w:rsidRDefault="0068011A">
      <w:pPr>
        <w:spacing w:after="0" w:line="276" w:lineRule="auto"/>
        <w:jc w:val="both"/>
      </w:pPr>
      <w:r>
        <w:rPr>
          <w:rFonts w:ascii="Times New Roman" w:eastAsia="Times New Roman" w:hAnsi="Times New Roman" w:cs="Times New Roman"/>
          <w:b/>
          <w:sz w:val="26"/>
        </w:rPr>
        <w:t xml:space="preserve">Trình tự thực hiện: </w:t>
      </w:r>
    </w:p>
    <w:p w:rsidR="00B62A25" w:rsidRDefault="00B62A25">
      <w:pPr>
        <w:shd w:val="clear" w:color="auto" w:fill="F2F6F9"/>
        <w:spacing w:before="120" w:after="0" w:line="276" w:lineRule="auto"/>
        <w:jc w:val="both"/>
      </w:pPr>
    </w:p>
    <w:p w:rsidR="00B62A25" w:rsidRDefault="0068011A">
      <w:pPr>
        <w:spacing w:after="0" w:line="276" w:lineRule="auto"/>
        <w:jc w:val="both"/>
      </w:pPr>
      <w:r>
        <w:rPr>
          <w:rFonts w:ascii="Times New Roman" w:eastAsia="Times New Roman" w:hAnsi="Times New Roman" w:cs="Times New Roman"/>
          <w:sz w:val="26"/>
        </w:rPr>
        <w:t>Bước 1: Tổ chức, cá nhân khám bệnh chữa bệnh nhân đạo gửi 01 bộ hồ sơ đề nghị cho phép về các cơ quan quy định tại khoản 2 Điều 15 Nghị định số 148/2025/NĐ-CP, cụ thể như sau: 1. Bộ Y tế (Cục Quản lý Khám, chữa bệnh đối với trường hợp tổ chức khám bệnh, chữa bệnh nhân đạo trừ trường hợp khám bệnh, chữa bệnh nhân đạo bằng y học cổ truyền; Cục Quản lý Y, Dược cổ truyền đối với trường hợp tổ chức khám bệnh, chữa bệnh nhân đạo bằng y học cổ truyền) cho phép đối với: Tổ chức, cá nhân nước ngoài thực hiện khám bệ</w:t>
      </w:r>
      <w:r>
        <w:rPr>
          <w:rFonts w:ascii="Times New Roman" w:eastAsia="Times New Roman" w:hAnsi="Times New Roman" w:cs="Times New Roman"/>
          <w:sz w:val="26"/>
        </w:rPr>
        <w:t>nh, chữa bệnh nhân đạo theo đợt hoặc lưu động tại 02 tỉnh, thành phố trực thuộc trung ương trở lên. 2. Bộ Quốc phòng đối với trường hợp tổ chức khám bệnh, chữa bệnh nhân đạo theo đợt hoặc khám bệnh, chữa bệnh lưu động tại cơ sở khám bệnh, chữa bệnh hoặc cơ quan, đơn vị trực thuộc Bộ Quốc phòng. 3. Bộ Công an đối với trường hợp tổ chức khám bệnh, chữa bệnh nhân đạo theo đợt hoặc khám bệnh, chữa bệnh lưu động tại cơ sở khám bệnh, chữa bệnh hoặc cơ quan, đơn vị trực thuộc Bộ Công an. 4. Cơ quan chuyên môn về Y</w:t>
      </w:r>
      <w:r>
        <w:rPr>
          <w:rFonts w:ascii="Times New Roman" w:eastAsia="Times New Roman" w:hAnsi="Times New Roman" w:cs="Times New Roman"/>
          <w:sz w:val="26"/>
        </w:rPr>
        <w:t xml:space="preserve"> tế thuộc Ủy ban nhân dân cấp tỉnh cho phép đối với: a) Tổ chức khám bệnh, chữa bệnh nhân đạo theo đợt hoặc khám bệnh, chữa bệnh lưu động tại cơ sở khám bệnh, chữa bệnh trực thuộc Bộ Y tế và các bộ khác, trừ Bộ Quốc phòng, Bộ Công an. b) Tổ chức, cá nhân khám bệnh, chữa bệnh nhân đạo theo đợt hoặc khám bệnh, chữa bệnh lưu động trừ các trường hợp quy định tại các mục 1, 2 và 3.  Bước 2: Trong thời gian 10 ngày, kể từ ngày nhận đủ hồ sơ, cơ quan tiếp nhận hồ sơ quy định tại khoản 2 Điều 15 Nghị định số 148/20</w:t>
      </w:r>
      <w:r>
        <w:rPr>
          <w:rFonts w:ascii="Times New Roman" w:eastAsia="Times New Roman" w:hAnsi="Times New Roman" w:cs="Times New Roman"/>
          <w:sz w:val="26"/>
        </w:rPr>
        <w:t>25/NĐ-CP có trách nhiệm trả lời bằng văn bản về việc đồng ý cho phép tổ chức, cá nhân khám bệnh, chữa bệnh nhân đạo theo đợt hoặc khám bệnh, chữa bệnh lưu động. Trường hợp không đồng ý thì phải có văn bản trả lời và nêu rõ lý do không đồng ý.</w:t>
      </w:r>
    </w:p>
    <w:p w:rsidR="00B62A25" w:rsidRDefault="0068011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1747"/>
        <w:gridCol w:w="2935"/>
        <w:gridCol w:w="3023"/>
      </w:tblGrid>
      <w:tr w:rsidR="00B62A25">
        <w:tblPrEx>
          <w:tblCellMar>
            <w:top w:w="0" w:type="dxa"/>
            <w:bottom w:w="0" w:type="dxa"/>
          </w:tblCellMar>
        </w:tblPrEx>
        <w:tc>
          <w:tcPr>
            <w:tcW w:w="15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Hình thức nộp</w:t>
            </w:r>
          </w:p>
        </w:tc>
        <w:tc>
          <w:tcPr>
            <w:tcW w:w="2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Phí, lệ phí</w:t>
            </w:r>
          </w:p>
        </w:tc>
        <w:tc>
          <w:tcPr>
            <w:tcW w:w="3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Mô tả</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Trực tiếp</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10 Ngày</w:t>
            </w:r>
          </w:p>
        </w:tc>
        <w:tc>
          <w:tcPr>
            <w:tcW w:w="0" w:type="auto"/>
          </w:tcPr>
          <w:p w:rsidR="00B62A25" w:rsidRDefault="00B62A25"/>
          <w:p w:rsidR="00B62A25" w:rsidRDefault="00B62A25">
            <w:pPr>
              <w:spacing w:after="0" w:line="276" w:lineRule="auto"/>
            </w:pP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10 ngày, kể từ ngày nhận đủ hồ sơ</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Trực tuyến</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10 Ngày</w:t>
            </w:r>
          </w:p>
        </w:tc>
        <w:tc>
          <w:tcPr>
            <w:tcW w:w="0" w:type="auto"/>
          </w:tcPr>
          <w:p w:rsidR="00B62A25" w:rsidRDefault="00B62A25"/>
          <w:p w:rsidR="00B62A25" w:rsidRDefault="00B62A25">
            <w:pPr>
              <w:spacing w:after="0" w:line="276" w:lineRule="auto"/>
            </w:pP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10 ngày, kể từ ngày nhận đủ hồ sơ</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Dịch vụ bưu chính</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10 Ngày</w:t>
            </w:r>
          </w:p>
        </w:tc>
        <w:tc>
          <w:tcPr>
            <w:tcW w:w="0" w:type="auto"/>
          </w:tcPr>
          <w:p w:rsidR="00B62A25" w:rsidRDefault="00B62A25"/>
          <w:p w:rsidR="00B62A25" w:rsidRDefault="00B62A25">
            <w:pPr>
              <w:spacing w:after="0" w:line="276" w:lineRule="auto"/>
            </w:pP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10 ngày, kể từ ngày nhận đủ hồ sơ</w:t>
            </w:r>
          </w:p>
        </w:tc>
      </w:tr>
    </w:tbl>
    <w:p w:rsidR="00B62A25" w:rsidRDefault="0068011A">
      <w:pPr>
        <w:spacing w:before="240" w:after="0" w:line="276" w:lineRule="auto"/>
        <w:jc w:val="both"/>
      </w:pPr>
      <w:r>
        <w:rPr>
          <w:rFonts w:ascii="Times New Roman" w:eastAsia="Times New Roman" w:hAnsi="Times New Roman" w:cs="Times New Roman"/>
          <w:b/>
          <w:sz w:val="26"/>
        </w:rPr>
        <w:t xml:space="preserve">Thành phần hồ sơ: </w:t>
      </w:r>
    </w:p>
    <w:p w:rsidR="00B62A25" w:rsidRDefault="0068011A">
      <w:pPr>
        <w:shd w:val="clear" w:color="auto" w:fill="F2F6F9"/>
        <w:spacing w:before="120" w:after="0" w:line="276" w:lineRule="auto"/>
        <w:jc w:val="both"/>
      </w:pPr>
      <w:r>
        <w:rPr>
          <w:rFonts w:ascii="Times New Roman" w:eastAsia="Times New Roman" w:hAnsi="Times New Roman" w:cs="Times New Roman"/>
          <w:b/>
          <w:sz w:val="26"/>
        </w:rPr>
        <w:t>1. Trường hợp 1: Hồ sơ đề nghị cho phép tổ chức hoạt động khám bệnh, chữa bệnh nhân đạo theo đợt hoặc khám bệnh, chữa bệnh lưu động thuộc trường hợp quy định tại khoản 1 Điều 79 của Luật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0"/>
        <w:gridCol w:w="1078"/>
        <w:gridCol w:w="933"/>
      </w:tblGrid>
      <w:tr w:rsidR="00B62A25">
        <w:tblPrEx>
          <w:tblCellMar>
            <w:top w:w="0" w:type="dxa"/>
            <w:bottom w:w="0" w:type="dxa"/>
          </w:tblCellMar>
        </w:tblPrEx>
        <w:tc>
          <w:tcPr>
            <w:tcW w:w="6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Tên giấy tờ</w:t>
            </w:r>
          </w:p>
        </w:tc>
        <w:tc>
          <w:tcPr>
            <w:tcW w:w="2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Mẫu đơn, tờ khai</w:t>
            </w:r>
          </w:p>
        </w:tc>
        <w:tc>
          <w:tcPr>
            <w:tcW w:w="2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Số lượng</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a) Đơn đề nghị cho phép khám bệnh, chữa bệnh nhân đạo theo đợt hoặc khám bệnh, chữa bệnh lưu động theo Mẫu 01 Phụ lục IV ban hành kèm theo Nghị định số 96/2023/NĐ-CP;</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Mẫu 01.docx</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 Bản kê khai danh sách các thành viên tham gia khám bệnh, chữa bệnh nhân đạo hoặc khám bệnh, chữa bệnh lưu động theo Mẫu 02 Phụ lục IV Nghị định số 96/2023/NĐ-CP, trong đó phải nêu rõ người chịu trách nhiệm chuyên môn kỹ thuật kèm theo bản sao hợp lệ giấy phép hành nghề của người được phân công là người chịu trách nhiệm chuyên môn kỹ thuật của đoàn khám;</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Mẫu 02.docx</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c) Bản sao hợp lệ văn bằng, chứng chỉ chuyên môn của người trực tiếp tham gia khám bệnh, chữa bệnh nhưng không thuộc diện phải có giấy phép hành nghề theo quy định của pháp luật về khám bệnh, chữa bệnh (nếu có);</w:t>
            </w:r>
          </w:p>
        </w:tc>
        <w:tc>
          <w:tcPr>
            <w:tcW w:w="0" w:type="auto"/>
          </w:tcPr>
          <w:p w:rsidR="00B62A25" w:rsidRDefault="00B62A25"/>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d) Kế hoạch tổ chức khám bệnh, chữa bệnh nhân đạo hoặc khám bệnh, chữa bệnh lưu động theo Mẫu 03 Phụ lục IV ban hành kèm theo Nghị định số 96/2023/NĐ-CP;</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Mẫu 03.docx</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đ) Văn bản cho phép của cơ sở khám bệnh, chữa bệnh hoặc của người đứng đầu địa điểm nơi dự kiến tổ chức hoạt động khám bệnh, chữa bệnh.</w:t>
            </w:r>
          </w:p>
        </w:tc>
        <w:tc>
          <w:tcPr>
            <w:tcW w:w="0" w:type="auto"/>
          </w:tcPr>
          <w:p w:rsidR="00B62A25" w:rsidRDefault="00B62A25"/>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62A25" w:rsidRDefault="0068011A">
      <w:pPr>
        <w:shd w:val="clear" w:color="auto" w:fill="F2F6F9"/>
        <w:spacing w:before="120" w:after="0" w:line="276" w:lineRule="auto"/>
        <w:jc w:val="both"/>
      </w:pPr>
      <w:r>
        <w:rPr>
          <w:rFonts w:ascii="Times New Roman" w:eastAsia="Times New Roman" w:hAnsi="Times New Roman" w:cs="Times New Roman"/>
          <w:b/>
          <w:sz w:val="26"/>
        </w:rPr>
        <w:t>2. Trường hợp 2: Hồ sơ đề nghị cho phép cá nhân khám bệnh, chữa bệnh nhân đạo:</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8"/>
        <w:gridCol w:w="1229"/>
        <w:gridCol w:w="1108"/>
      </w:tblGrid>
      <w:tr w:rsidR="00B62A25">
        <w:tblPrEx>
          <w:tblCellMar>
            <w:top w:w="0" w:type="dxa"/>
            <w:bottom w:w="0" w:type="dxa"/>
          </w:tblCellMar>
        </w:tblPrEx>
        <w:tc>
          <w:tcPr>
            <w:tcW w:w="6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Tên giấy tờ</w:t>
            </w:r>
          </w:p>
        </w:tc>
        <w:tc>
          <w:tcPr>
            <w:tcW w:w="2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Mẫu đơn, tờ khai</w:t>
            </w:r>
          </w:p>
        </w:tc>
        <w:tc>
          <w:tcPr>
            <w:tcW w:w="2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Số lượng</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a) Đơn đề nghị cho phép tổ chức khám bệnh, chữa bệnh nhân đạo hoặc khám bệnh, chữa bệnh lưu động theo Mẫu 01 Phụ lục IV ban hành kèm theo Nghị định số 96/2023/NĐ-CP;</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Mẫu 01.docx</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 Bản sao hợp lệ giấy phép hành nghề của người đề nghị khám bệnh, chữa bệnh nhân đạo;</w:t>
            </w:r>
          </w:p>
        </w:tc>
        <w:tc>
          <w:tcPr>
            <w:tcW w:w="0" w:type="auto"/>
          </w:tcPr>
          <w:p w:rsidR="00B62A25" w:rsidRDefault="00B62A25"/>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c) Kế hoạch tổ chức khám bệnh, chữa bệnh nhân đạo theo Mẫu 03 Phụ lục IV ban hành kèm theo Nghị định số 96/2023/NĐ-CP;</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Mẫu 03.docx</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d) Văn bản cho phép của cơ sở khám bệnh, chữa bệnh hoặc của người đứng đầu địa điểm nơi dự kiến tổ chức hoạt động khám bệnh, chữa bệnh nhân đạo.</w:t>
            </w:r>
          </w:p>
        </w:tc>
        <w:tc>
          <w:tcPr>
            <w:tcW w:w="0" w:type="auto"/>
          </w:tcPr>
          <w:p w:rsidR="00B62A25" w:rsidRDefault="00B62A25"/>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62A25" w:rsidRDefault="0068011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B62A25" w:rsidRDefault="0068011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Bộ Công an, Bộ Quốc phòng, Sở Y tế</w:t>
      </w:r>
    </w:p>
    <w:p w:rsidR="00B62A25" w:rsidRDefault="0068011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62A25" w:rsidRDefault="0068011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62A25" w:rsidRDefault="0068011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62A25" w:rsidRDefault="0068011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62A25" w:rsidRDefault="0068011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đồng ý/không đồng ý</w:t>
      </w:r>
    </w:p>
    <w:p w:rsidR="00B62A25" w:rsidRDefault="0068011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B62A25">
        <w:tblPrEx>
          <w:tblCellMar>
            <w:top w:w="0" w:type="dxa"/>
            <w:bottom w:w="0" w:type="dxa"/>
          </w:tblCellMar>
        </w:tblPrEx>
        <w:tc>
          <w:tcPr>
            <w:tcW w:w="2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Số ký hiệu</w:t>
            </w:r>
          </w:p>
        </w:tc>
        <w:tc>
          <w:tcPr>
            <w:tcW w:w="35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Trích yếu</w:t>
            </w:r>
          </w:p>
        </w:tc>
        <w:tc>
          <w:tcPr>
            <w:tcW w:w="15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Ngày ban hành</w:t>
            </w:r>
          </w:p>
        </w:tc>
        <w:tc>
          <w:tcPr>
            <w:tcW w:w="3000" w:type="dxa"/>
          </w:tcPr>
          <w:p w:rsidR="00B62A25" w:rsidRDefault="00B62A25"/>
          <w:p w:rsidR="00B62A25" w:rsidRDefault="0068011A">
            <w:pPr>
              <w:spacing w:after="0" w:line="276" w:lineRule="auto"/>
              <w:jc w:val="center"/>
            </w:pPr>
            <w:r>
              <w:rPr>
                <w:rFonts w:ascii="Times New Roman" w:eastAsia="Times New Roman" w:hAnsi="Times New Roman" w:cs="Times New Roman"/>
                <w:b/>
                <w:sz w:val="26"/>
              </w:rPr>
              <w:t>Cơ quan ban hành</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15/2023/QH15</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Luật Khám, chữa bệnh 15/2023/QH15 (09/1/2023)</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30-12-2023</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Ủy ban thường vụ quốc hội</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96/2023/NĐ-CP</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30-12-2023</w:t>
            </w:r>
          </w:p>
        </w:tc>
        <w:tc>
          <w:tcPr>
            <w:tcW w:w="0" w:type="auto"/>
          </w:tcPr>
          <w:p w:rsidR="00B62A25" w:rsidRDefault="00B62A25"/>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57/2024/TT-BYT</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31-12-2024</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Bộ Y tế</w:t>
            </w:r>
          </w:p>
        </w:tc>
      </w:tr>
      <w:tr w:rsidR="00B62A25">
        <w:tblPrEx>
          <w:tblCellMar>
            <w:top w:w="0" w:type="dxa"/>
            <w:bottom w:w="0" w:type="dxa"/>
          </w:tblCellMar>
        </w:tblPrEx>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148/2025/NĐ-CP</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12-06-2025</w:t>
            </w:r>
          </w:p>
        </w:tc>
        <w:tc>
          <w:tcPr>
            <w:tcW w:w="0" w:type="auto"/>
          </w:tcPr>
          <w:p w:rsidR="00B62A25" w:rsidRDefault="00B62A25"/>
          <w:p w:rsidR="00B62A25" w:rsidRDefault="0068011A">
            <w:pPr>
              <w:spacing w:after="0" w:line="276" w:lineRule="auto"/>
            </w:pPr>
            <w:r>
              <w:rPr>
                <w:rFonts w:ascii="Times New Roman" w:eastAsia="Times New Roman" w:hAnsi="Times New Roman" w:cs="Times New Roman"/>
                <w:sz w:val="26"/>
              </w:rPr>
              <w:t>Chính phủ</w:t>
            </w:r>
          </w:p>
        </w:tc>
      </w:tr>
    </w:tbl>
    <w:p w:rsidR="00B62A25" w:rsidRDefault="0068011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Hoạt động khám bệnh, chữa bệnh nhân đạo theo đợt phải được thực hiện bởi cơ sở khám bệnh, chữa bệnh đã được cấp giấy phép hoạt động khám bệnh, chữa bệnh. 2. Hoạt động khám bệnh, chữa bệnh nhân đạo của cá nhân phải được thực hiện bởi người hành nghề đã được cấp giấy phép hành nghề có phạm vi hành nghề phù hợp với hoạt động khám bệnh, chữa bệnh nhân đạo. 3. Hoạt động khám bệnh, chữa bệnh lưu động phải được thực hiện bởi cơ sở khám bệnh, chữa bệnh đã được cấp giấy phép hoạt động khám bệnh, chữa bệnh có phạm</w:t>
      </w:r>
      <w:r>
        <w:rPr>
          <w:rFonts w:ascii="Times New Roman" w:eastAsia="Times New Roman" w:hAnsi="Times New Roman" w:cs="Times New Roman"/>
          <w:sz w:val="26"/>
        </w:rPr>
        <w:t xml:space="preserve"> vi hoạt động chuyên môn phù hợp với hoạt động khám bệnh, chữa bệnh lưu động. 4. Điều kiện về cơ sở vật chất đối với trường hợp thực hiện khám bệnh, chữa bệnh nhân đạo theo đợt hoặc lưu động, khám sức khỏe tại địa điểm không phải là địa điểm được ghi trong giấy phép hoạt động thì địa điểm này phải đáp ứng các điều kiện sau đây: a) Có nơi tiếp đón, khám bệnh, chữa bệnh đáp ứng các điều kiện: - Kiểm soát nhiễm khuẩn, an toàn bức xạ, quản lý chất thải y tế, phòng cháy và chữa cháy theo quy định của pháp luật; </w:t>
      </w:r>
      <w:r>
        <w:rPr>
          <w:rFonts w:ascii="Times New Roman" w:eastAsia="Times New Roman" w:hAnsi="Times New Roman" w:cs="Times New Roman"/>
          <w:sz w:val="26"/>
        </w:rPr>
        <w:t>- Bảo đảm đủ điện, nước và các điều kiện khác phục vụ việc khám bệnh, chữa bệnh. b) Có đủ người hành nghề, thiết bị y tế và các điều kiện khác phù hợp với quy mô và phạm vi cung cấp dịch vụ khám bệnh, chữa bệnh. 5. Điều kiện về nhân sự đối với trường hợp tổ chức khám bệnh, chữa bệnh nhân đạo theo đợt hoặc lưu động, khám sức khỏe theo hình thức đoàn khám bệnh, chữa bệnh: a) Người chịu trách nhiệm chuyên môn của đoàn khám bệnh, chữa bệnh nhân đạo, lưu động phải có giấy phép hành nghề còn hiệu lực tại thời điể</w:t>
      </w:r>
      <w:r>
        <w:rPr>
          <w:rFonts w:ascii="Times New Roman" w:eastAsia="Times New Roman" w:hAnsi="Times New Roman" w:cs="Times New Roman"/>
          <w:sz w:val="26"/>
        </w:rPr>
        <w:t>m đề nghị với phạm vi hoạt động chuyên môn ghi trong giấy phép hành nghề phù hợp với danh mục kỹ thuật chuyên môn mà đoàn đã đăng ký và đã có thời gian hành nghề khám bệnh, chữa bệnh tối thiểu 36 tháng tính đến thời điểm đề nghị cho phép khám bệnh, chữa bệnh nhân đạo; b) Các thành viên khác trực tiếp tham gia khám bệnh, chữa bệnh phải có giấy phép hành nghề. Trường hợp thành viên trực tiếp tham gia khám bệnh, chữa bệnh nhưng không thuộc diện phải có giấy phép hành nghề theo quy định của pháp luật về khám bệ</w:t>
      </w:r>
      <w:r>
        <w:rPr>
          <w:rFonts w:ascii="Times New Roman" w:eastAsia="Times New Roman" w:hAnsi="Times New Roman" w:cs="Times New Roman"/>
          <w:sz w:val="26"/>
        </w:rPr>
        <w:t>nh, chữa bệnh thì phải có văn bằng, chứng chỉ phù hợp với phạm vi hành nghề được phân công; c) Trường hợp có thực hiện cấp phát thuốc thì người cấp phát thuốc phải có bằng cấp chuyên môn tối thiểu là dược tá hoặc người có giấy phép hành nghề với chức danh bác sỹ; d) Trường hợp người khám bệnh, chữa bệnh nhân đạo là người nước ngoài thì phải có người phiên dịch, trừ trường hợp biết tiếng Việt thành thạo. 6. Điều kiện về nhân sự đối với trường hợp một người hành nghề thực hiện khám bệnh, chữa bệnh nhân đạo th</w:t>
      </w:r>
      <w:r>
        <w:rPr>
          <w:rFonts w:ascii="Times New Roman" w:eastAsia="Times New Roman" w:hAnsi="Times New Roman" w:cs="Times New Roman"/>
          <w:sz w:val="26"/>
        </w:rPr>
        <w:t xml:space="preserve">eo hình thức một cá nhân hành nghề độc lập phải đáp ứng quy định tại khoản 2 Điều 82 Nghị định số 96/2023/NĐ-CP. Người hành nghề thực hiện việc khám bệnh, chữa bệnh nhân đạo được kê đơn nhưng không được cấp phát thuốc. 7. Điều kiện về thiết bị y tế và thuốc: a) Có đủ thiết bị y tế, hộp cấp cứu phản vệ, thuốc cấp cứu và thuốc chữa bệnh phù hợp với phạm vi hoạt động chuyên môn đăng ký khám bệnh, chữa bệnh; b) Thiết bị y tế phải có nguồn gốc xuất xứ rõ ràng, thuốc sử dụng để khám bệnh, chữa bệnh nhân đạo phải </w:t>
      </w:r>
      <w:r>
        <w:rPr>
          <w:rFonts w:ascii="Times New Roman" w:eastAsia="Times New Roman" w:hAnsi="Times New Roman" w:cs="Times New Roman"/>
          <w:sz w:val="26"/>
        </w:rPr>
        <w:t>thuộc danh mục được phép lưu hành tại Việt Nam và còn thời hạn sử dụng. Trường hợp thuốc chưa được phép lưu hành tại Việt Nam thì phải có văn bản cam kết thuốc đã được lưu hành hợp pháp ở nước ngoài (chỉ áp dụng đối với đoàn khám bệnh, chữa bệnh nhân đạo của nước ngoài).</w:t>
      </w:r>
    </w:p>
    <w:p w:rsidR="00B62A25" w:rsidRDefault="0068011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62A25" w:rsidRDefault="0068011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https://thutuc.dichvucong.gov.vn/p/home/dvc-tthc-thu-tuc-hanh-chinh-chi-tiet.html?ma_thu_tuc=333068</w:t>
      </w:r>
    </w:p>
    <w:sectPr w:rsidR="00B62A2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2A25"/>
    <w:rsid w:val="00545635"/>
    <w:rsid w:val="0068011A"/>
    <w:rsid w:val="00B62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1389</Words>
  <Characters>7920</Characters>
  <Application>Microsoft Office Word</Application>
  <DocSecurity>0</DocSecurity>
  <Lines>66</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