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11E8" w:rsidRDefault="000C7B22">
      <w:pPr>
        <w:spacing w:after="300" w:line="276" w:lineRule="auto"/>
        <w:jc w:val="center"/>
      </w:pPr>
      <w:r>
        <w:rPr>
          <w:rFonts w:ascii="Times New Roman" w:eastAsia="Times New Roman" w:hAnsi="Times New Roman" w:cs="Times New Roman"/>
          <w:b/>
          <w:sz w:val="26"/>
        </w:rPr>
        <w:t>Chi tiết thủ tục hành chính</w:t>
      </w:r>
    </w:p>
    <w:p w:rsidR="00F911E8" w:rsidRDefault="000C7B2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1.012258</w:t>
      </w:r>
    </w:p>
    <w:p w:rsidR="00F911E8" w:rsidRDefault="000C7B2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2045/QĐ_BYT</w:t>
      </w:r>
    </w:p>
    <w:p w:rsidR="00F911E8" w:rsidRDefault="000C7B2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người nước ngoài vào Việt Nam chuyển giao kỹ thuật chuyên môn về khám bệnh, chữa bệnh hoặc hợp tác đào tạo về y khoa có thực hành khám bệnh, chữa bệnh</w:t>
      </w:r>
    </w:p>
    <w:p w:rsidR="00F911E8" w:rsidRDefault="000C7B2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Cơ quan khác</w:t>
      </w:r>
    </w:p>
    <w:p w:rsidR="00F911E8" w:rsidRDefault="000C7B2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911E8" w:rsidRDefault="000C7B2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F911E8" w:rsidRDefault="000C7B22">
      <w:pPr>
        <w:spacing w:after="0" w:line="276" w:lineRule="auto"/>
        <w:jc w:val="both"/>
      </w:pPr>
      <w:r>
        <w:rPr>
          <w:rFonts w:ascii="Times New Roman" w:eastAsia="Times New Roman" w:hAnsi="Times New Roman" w:cs="Times New Roman"/>
          <w:b/>
          <w:sz w:val="26"/>
        </w:rPr>
        <w:t xml:space="preserve">Trình tự thực hiện: </w:t>
      </w:r>
    </w:p>
    <w:p w:rsidR="00F911E8" w:rsidRDefault="00F911E8">
      <w:pPr>
        <w:shd w:val="clear" w:color="auto" w:fill="F2F6F9"/>
        <w:spacing w:before="120" w:after="0" w:line="276" w:lineRule="auto"/>
        <w:jc w:val="both"/>
      </w:pPr>
    </w:p>
    <w:p w:rsidR="00F911E8" w:rsidRDefault="000C7B22">
      <w:pPr>
        <w:spacing w:after="0" w:line="276" w:lineRule="auto"/>
        <w:jc w:val="both"/>
      </w:pPr>
      <w:r>
        <w:rPr>
          <w:rFonts w:ascii="Times New Roman" w:eastAsia="Times New Roman" w:hAnsi="Times New Roman" w:cs="Times New Roman"/>
          <w:sz w:val="26"/>
        </w:rPr>
        <w:t>Bước 1:  Hồ sơ đề nghị cho phép người nước ngoài vào Việt Nam chuyển giao kỹ thuật chuyên môn về khám bệnh, chữa bệnh hoặc hợp tác đào tạo về y khoa có thực hành khám bệnh, chữa bệnh gửi về: 1. Bộ Quốc phòng đối với trường hợp người nước ngoài vào làm việc tại cơ sở khám bệnh, chữa bệnh trực thuộc Bộ Quốc phòng; 2. Bộ Công an đối với trường hợp người nước ngoài vào làm việc tại cơ sở khám bệnh, chữa bệnh trực thuộc Bộ Công an; 3. Cơ quan chuyên môn về Y tế thuộc Ủy ban nhân dân cấp tỉnh đối với: a) Trường h</w:t>
      </w:r>
      <w:r>
        <w:rPr>
          <w:rFonts w:ascii="Times New Roman" w:eastAsia="Times New Roman" w:hAnsi="Times New Roman" w:cs="Times New Roman"/>
          <w:sz w:val="26"/>
        </w:rPr>
        <w:t>ợp người nước ngoài vào Việt Nam chuyển giao kỹ thuật chuyên môn về khám bệnh, chữa bệnh hoặc hợp tác đào tạo về y khoa có thực hành khám bệnh, chữa bệnh tại cơ sở khám bệnh, chữa bệnh Nhà nước trực thuộc Bộ Y tế và các bộ khác, trừ Bộ Quốc phòng, Bộ Công an. b) Trường hợp người nước ngoài vào làm việc tại cơ sở khám bệnh, chữa bệnh trực thuộc Cơ quan chuyên môn về Y tế thuộc Ủy ban nhân dân cấp tỉnh hoặc tại địa bàn quản lý. Bước 2:  Trong thời gian 15 ngày, kể từ ngày nhận đủ hồ sơ, cơ quan tiếp nhận hồ s</w:t>
      </w:r>
      <w:r>
        <w:rPr>
          <w:rFonts w:ascii="Times New Roman" w:eastAsia="Times New Roman" w:hAnsi="Times New Roman" w:cs="Times New Roman"/>
          <w:sz w:val="26"/>
        </w:rPr>
        <w:t>ơ quy định tại khoản 2 Điều 14 Nghị định số 148/2025/NĐ-CP có trách nhiệm trả lời bằng văn bản về việc đồng ý cho phép người nước ngoài vào khám bệnh, chữa bệnh tại Việt Nam. Trường hợp không đồng ý thì phải có văn bản trả lời và nêu rõ lý do không đồng ý.</w:t>
      </w:r>
    </w:p>
    <w:p w:rsidR="00F911E8" w:rsidRDefault="000C7B2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6"/>
        <w:gridCol w:w="1747"/>
        <w:gridCol w:w="2935"/>
        <w:gridCol w:w="3023"/>
      </w:tblGrid>
      <w:tr w:rsidR="00F911E8">
        <w:tblPrEx>
          <w:tblCellMar>
            <w:top w:w="0" w:type="dxa"/>
            <w:bottom w:w="0" w:type="dxa"/>
          </w:tblCellMar>
        </w:tblPrEx>
        <w:tc>
          <w:tcPr>
            <w:tcW w:w="1500" w:type="dxa"/>
          </w:tcPr>
          <w:p w:rsidR="00F911E8" w:rsidRDefault="00F911E8"/>
          <w:p w:rsidR="00F911E8" w:rsidRDefault="000C7B22">
            <w:pPr>
              <w:spacing w:after="0" w:line="276" w:lineRule="auto"/>
              <w:jc w:val="center"/>
            </w:pPr>
            <w:r>
              <w:rPr>
                <w:rFonts w:ascii="Times New Roman" w:eastAsia="Times New Roman" w:hAnsi="Times New Roman" w:cs="Times New Roman"/>
                <w:b/>
                <w:sz w:val="26"/>
              </w:rPr>
              <w:t>Hình thức nộp</w:t>
            </w:r>
          </w:p>
        </w:tc>
        <w:tc>
          <w:tcPr>
            <w:tcW w:w="2000" w:type="dxa"/>
          </w:tcPr>
          <w:p w:rsidR="00F911E8" w:rsidRDefault="00F911E8"/>
          <w:p w:rsidR="00F911E8" w:rsidRDefault="000C7B2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911E8" w:rsidRDefault="00F911E8"/>
          <w:p w:rsidR="00F911E8" w:rsidRDefault="000C7B22">
            <w:pPr>
              <w:spacing w:after="0" w:line="276" w:lineRule="auto"/>
              <w:jc w:val="center"/>
            </w:pPr>
            <w:r>
              <w:rPr>
                <w:rFonts w:ascii="Times New Roman" w:eastAsia="Times New Roman" w:hAnsi="Times New Roman" w:cs="Times New Roman"/>
                <w:b/>
                <w:sz w:val="26"/>
              </w:rPr>
              <w:t>Phí, lệ phí</w:t>
            </w:r>
          </w:p>
        </w:tc>
        <w:tc>
          <w:tcPr>
            <w:tcW w:w="3000" w:type="dxa"/>
          </w:tcPr>
          <w:p w:rsidR="00F911E8" w:rsidRDefault="00F911E8"/>
          <w:p w:rsidR="00F911E8" w:rsidRDefault="000C7B22">
            <w:pPr>
              <w:spacing w:after="0" w:line="276" w:lineRule="auto"/>
              <w:jc w:val="center"/>
            </w:pPr>
            <w:r>
              <w:rPr>
                <w:rFonts w:ascii="Times New Roman" w:eastAsia="Times New Roman" w:hAnsi="Times New Roman" w:cs="Times New Roman"/>
                <w:b/>
                <w:sz w:val="26"/>
              </w:rPr>
              <w:t>Mô tả</w:t>
            </w:r>
          </w:p>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Trực tiếp</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15 Ngày</w:t>
            </w:r>
          </w:p>
        </w:tc>
        <w:tc>
          <w:tcPr>
            <w:tcW w:w="0" w:type="auto"/>
          </w:tcPr>
          <w:p w:rsidR="00F911E8" w:rsidRDefault="00F911E8"/>
          <w:p w:rsidR="00F911E8" w:rsidRDefault="00F911E8">
            <w:pPr>
              <w:spacing w:after="0" w:line="276" w:lineRule="auto"/>
            </w:pP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15 ngày, kể từ ngày nhận đủ hồ sơ</w:t>
            </w:r>
          </w:p>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Trực tuyến</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15 Ngày</w:t>
            </w:r>
          </w:p>
        </w:tc>
        <w:tc>
          <w:tcPr>
            <w:tcW w:w="0" w:type="auto"/>
          </w:tcPr>
          <w:p w:rsidR="00F911E8" w:rsidRDefault="00F911E8"/>
          <w:p w:rsidR="00F911E8" w:rsidRDefault="00F911E8">
            <w:pPr>
              <w:spacing w:after="0" w:line="276" w:lineRule="auto"/>
            </w:pP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 xml:space="preserve">15 ngày, kể từ ngày nhận đủ </w:t>
            </w:r>
            <w:r>
              <w:rPr>
                <w:rFonts w:ascii="Times New Roman" w:eastAsia="Times New Roman" w:hAnsi="Times New Roman" w:cs="Times New Roman"/>
                <w:sz w:val="26"/>
              </w:rPr>
              <w:lastRenderedPageBreak/>
              <w:t>hồ sơ</w:t>
            </w:r>
          </w:p>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Dịch vụ bưu chính</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15 Ngày</w:t>
            </w:r>
          </w:p>
        </w:tc>
        <w:tc>
          <w:tcPr>
            <w:tcW w:w="0" w:type="auto"/>
          </w:tcPr>
          <w:p w:rsidR="00F911E8" w:rsidRDefault="00F911E8"/>
          <w:p w:rsidR="00F911E8" w:rsidRDefault="00F911E8">
            <w:pPr>
              <w:spacing w:after="0" w:line="276" w:lineRule="auto"/>
            </w:pP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15 ngày, kể từ ngày nhận đủ hồ sơ</w:t>
            </w:r>
          </w:p>
        </w:tc>
      </w:tr>
    </w:tbl>
    <w:p w:rsidR="00F911E8" w:rsidRDefault="000C7B22">
      <w:pPr>
        <w:spacing w:before="240" w:after="0" w:line="276" w:lineRule="auto"/>
        <w:jc w:val="both"/>
      </w:pPr>
      <w:r>
        <w:rPr>
          <w:rFonts w:ascii="Times New Roman" w:eastAsia="Times New Roman" w:hAnsi="Times New Roman" w:cs="Times New Roman"/>
          <w:b/>
          <w:sz w:val="26"/>
        </w:rPr>
        <w:t xml:space="preserve">Thành phần hồ sơ: </w:t>
      </w:r>
    </w:p>
    <w:p w:rsidR="00F911E8" w:rsidRDefault="000C7B2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F911E8">
        <w:tblPrEx>
          <w:tblCellMar>
            <w:top w:w="0" w:type="dxa"/>
            <w:bottom w:w="0" w:type="dxa"/>
          </w:tblCellMar>
        </w:tblPrEx>
        <w:tc>
          <w:tcPr>
            <w:tcW w:w="6000" w:type="dxa"/>
          </w:tcPr>
          <w:p w:rsidR="00F911E8" w:rsidRDefault="00F911E8"/>
          <w:p w:rsidR="00F911E8" w:rsidRDefault="000C7B22">
            <w:pPr>
              <w:spacing w:after="0" w:line="276" w:lineRule="auto"/>
              <w:jc w:val="center"/>
            </w:pPr>
            <w:r>
              <w:rPr>
                <w:rFonts w:ascii="Times New Roman" w:eastAsia="Times New Roman" w:hAnsi="Times New Roman" w:cs="Times New Roman"/>
                <w:b/>
                <w:sz w:val="26"/>
              </w:rPr>
              <w:t>Tên giấy tờ</w:t>
            </w:r>
          </w:p>
        </w:tc>
        <w:tc>
          <w:tcPr>
            <w:tcW w:w="2000" w:type="dxa"/>
          </w:tcPr>
          <w:p w:rsidR="00F911E8" w:rsidRDefault="00F911E8"/>
          <w:p w:rsidR="00F911E8" w:rsidRDefault="000C7B22">
            <w:pPr>
              <w:spacing w:after="0" w:line="276" w:lineRule="auto"/>
              <w:jc w:val="center"/>
            </w:pPr>
            <w:r>
              <w:rPr>
                <w:rFonts w:ascii="Times New Roman" w:eastAsia="Times New Roman" w:hAnsi="Times New Roman" w:cs="Times New Roman"/>
                <w:b/>
                <w:sz w:val="26"/>
              </w:rPr>
              <w:t>Mẫu đơn, tờ khai</w:t>
            </w:r>
          </w:p>
        </w:tc>
        <w:tc>
          <w:tcPr>
            <w:tcW w:w="2000" w:type="dxa"/>
          </w:tcPr>
          <w:p w:rsidR="00F911E8" w:rsidRDefault="00F911E8"/>
          <w:p w:rsidR="00F911E8" w:rsidRDefault="000C7B22">
            <w:pPr>
              <w:spacing w:after="0" w:line="276" w:lineRule="auto"/>
              <w:jc w:val="center"/>
            </w:pPr>
            <w:r>
              <w:rPr>
                <w:rFonts w:ascii="Times New Roman" w:eastAsia="Times New Roman" w:hAnsi="Times New Roman" w:cs="Times New Roman"/>
                <w:b/>
                <w:sz w:val="26"/>
              </w:rPr>
              <w:t>Số lượng</w:t>
            </w:r>
          </w:p>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1. Văn bản đề nghị cho phép người nước ngoài vào Việt Nam khám bệnh, chữa bệnh theo đợt của cơ quan, tổ chức Việt Nam nơi tiếp nhận</w:t>
            </w:r>
          </w:p>
        </w:tc>
        <w:tc>
          <w:tcPr>
            <w:tcW w:w="0" w:type="auto"/>
          </w:tcPr>
          <w:p w:rsidR="00F911E8" w:rsidRDefault="00F911E8"/>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2. Danh sách người nước ngoài trực tiếp thực hiện hoạt động khám bệnh, chữa bệnh dự kiến vào Việt Nam có đóng dấu của cơ quan, tổ chức Việt Nam nơi tiếp nhận, trong đó phải có đủ các thông tin sau đây: họ và tên; số hộ chiếu; chức danh chuyên môn; công việc dự kiến thực hiện tại Việt Nam và cam kết về việc chịu trách nhiệm về chất lượng khám bệnh, chữa bệnh của người nước ngoài kèm theo bản sao hợp lệ của cơ quan, tổ chức Việt Nam nơi tiếp nhận đối với giấy phép hành nghề của từng người nước ngoài</w:t>
            </w:r>
          </w:p>
        </w:tc>
        <w:tc>
          <w:tcPr>
            <w:tcW w:w="0" w:type="auto"/>
          </w:tcPr>
          <w:p w:rsidR="00F911E8" w:rsidRDefault="00F911E8"/>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3. Danh sách người thực hiện nhiệm vụ phiên dịch cho người nước ngoài vào Việt Nam khám bệnh, chữa bệnh theo đợt có xác nhận của cơ quan, tổ chức Việt Nam nơi tiếp nhận, trong đó phải có đủ các thông tin sau đây: họ và tên; số chứng minh nhân dân hoặc số hộ chiếu hoặc số căn cước công dân hoặc số định danh công dân; văn bằng chuyên môn và cam kết về việc chịu trách nhiệm về chất lượng phiên dịch kèm theo bản sao hợp lệ của cơ quan, tổ chức Việt Nam nơi tiếp nhận đối với văn bằng chuyên môn của từng người ph</w:t>
            </w:r>
            <w:r>
              <w:rPr>
                <w:rFonts w:ascii="Times New Roman" w:eastAsia="Times New Roman" w:hAnsi="Times New Roman" w:cs="Times New Roman"/>
                <w:sz w:val="26"/>
              </w:rPr>
              <w:t>iên dịch</w:t>
            </w:r>
          </w:p>
        </w:tc>
        <w:tc>
          <w:tcPr>
            <w:tcW w:w="0" w:type="auto"/>
          </w:tcPr>
          <w:p w:rsidR="00F911E8" w:rsidRDefault="00F911E8"/>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 xml:space="preserve">4. Bảng kê thiết bị y tế có xác nhận của cơ quan, tổ chức Việt Nam nơi </w:t>
            </w:r>
            <w:r>
              <w:rPr>
                <w:rFonts w:ascii="Times New Roman" w:eastAsia="Times New Roman" w:hAnsi="Times New Roman" w:cs="Times New Roman"/>
                <w:sz w:val="26"/>
              </w:rPr>
              <w:lastRenderedPageBreak/>
              <w:t xml:space="preserve">tiếp nhận (nếu có), trong đó phải có đủ các thông tin sau đây: tên thiết bị, xuất xứ và cam kết thiết bị đang trong tình trạng hoạt động tốt. Trường hợp có kết hợp sử dụng thiết bị y tế của cơ sở khám bệnh, chữa bệnh trong nước thì phải gửi kèm theo thỏa thuận cung cấp thiết bị y tế của cơ quan, tổ chức nơi dự kiến thực hiện khám bệnh, chữa bệnh. Trường hợp người nước ngoài vào Việt Nam khám bệnh, chữa bệnh theo đợt dự kiến cho, tặng cơ quan, tổ chức của Việt Nam thiết bị y tế đã sử dụng sau khi hoàn thành </w:t>
            </w:r>
            <w:r>
              <w:rPr>
                <w:rFonts w:ascii="Times New Roman" w:eastAsia="Times New Roman" w:hAnsi="Times New Roman" w:cs="Times New Roman"/>
                <w:sz w:val="26"/>
              </w:rPr>
              <w:t>việc khám bệnh, chữa bệnh theo đợt thì cơ quan, tổ chức của Việt Nam nơi dự kiến tiếp nhận thiết bị y tế phải thực hiện thủ tục tiếp nhận theo quy định của Chính phủ</w:t>
            </w:r>
          </w:p>
        </w:tc>
        <w:tc>
          <w:tcPr>
            <w:tcW w:w="0" w:type="auto"/>
          </w:tcPr>
          <w:p w:rsidR="00F911E8" w:rsidRDefault="00F911E8"/>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5. Bảng kê thuốc (nếu có), trong đó phải có đủ các thông tin sau đây: tên thuốc, hoạt chất, hạn sử dụng, số lưu hành và cam kết thuốc đang được lưu hành hợp pháp tại tối thiểu một quốc gia trên thế giới</w:t>
            </w:r>
          </w:p>
        </w:tc>
        <w:tc>
          <w:tcPr>
            <w:tcW w:w="0" w:type="auto"/>
          </w:tcPr>
          <w:p w:rsidR="00F911E8" w:rsidRDefault="00F911E8"/>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6. Văn bản thỏa thuận giữa cơ quan, tổ chức của Việt Nam với người nước ngoài hoặc cơ quan, tổ chức nước ngoài về việc thực hiện hoạt động khám bệnh, chữa bệnh theo đợt tại Việt Nam</w:t>
            </w:r>
          </w:p>
        </w:tc>
        <w:tc>
          <w:tcPr>
            <w:tcW w:w="0" w:type="auto"/>
          </w:tcPr>
          <w:p w:rsidR="00F911E8" w:rsidRDefault="00F911E8"/>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F911E8" w:rsidRDefault="000C7B2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rsidR="00F911E8" w:rsidRDefault="000C7B2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 Bộ Quốc phòng, Sở Y tế</w:t>
      </w:r>
    </w:p>
    <w:p w:rsidR="00F911E8" w:rsidRDefault="000C7B2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F911E8" w:rsidRDefault="000C7B2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F911E8" w:rsidRDefault="000C7B2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911E8" w:rsidRDefault="000C7B2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911E8" w:rsidRDefault="000C7B2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văn đồng ý/không đồng ý</w:t>
      </w:r>
    </w:p>
    <w:p w:rsidR="00F911E8" w:rsidRDefault="000C7B2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F911E8">
        <w:tblPrEx>
          <w:tblCellMar>
            <w:top w:w="0" w:type="dxa"/>
            <w:bottom w:w="0" w:type="dxa"/>
          </w:tblCellMar>
        </w:tblPrEx>
        <w:tc>
          <w:tcPr>
            <w:tcW w:w="2000" w:type="dxa"/>
          </w:tcPr>
          <w:p w:rsidR="00F911E8" w:rsidRDefault="00F911E8"/>
          <w:p w:rsidR="00F911E8" w:rsidRDefault="000C7B22">
            <w:pPr>
              <w:spacing w:after="0" w:line="276" w:lineRule="auto"/>
              <w:jc w:val="center"/>
            </w:pPr>
            <w:r>
              <w:rPr>
                <w:rFonts w:ascii="Times New Roman" w:eastAsia="Times New Roman" w:hAnsi="Times New Roman" w:cs="Times New Roman"/>
                <w:b/>
                <w:sz w:val="26"/>
              </w:rPr>
              <w:t>Số ký hiệu</w:t>
            </w:r>
          </w:p>
        </w:tc>
        <w:tc>
          <w:tcPr>
            <w:tcW w:w="3500" w:type="dxa"/>
          </w:tcPr>
          <w:p w:rsidR="00F911E8" w:rsidRDefault="00F911E8"/>
          <w:p w:rsidR="00F911E8" w:rsidRDefault="000C7B22">
            <w:pPr>
              <w:spacing w:after="0" w:line="276" w:lineRule="auto"/>
              <w:jc w:val="center"/>
            </w:pPr>
            <w:r>
              <w:rPr>
                <w:rFonts w:ascii="Times New Roman" w:eastAsia="Times New Roman" w:hAnsi="Times New Roman" w:cs="Times New Roman"/>
                <w:b/>
                <w:sz w:val="26"/>
              </w:rPr>
              <w:t>Trích yếu</w:t>
            </w:r>
          </w:p>
        </w:tc>
        <w:tc>
          <w:tcPr>
            <w:tcW w:w="1500" w:type="dxa"/>
          </w:tcPr>
          <w:p w:rsidR="00F911E8" w:rsidRDefault="00F911E8"/>
          <w:p w:rsidR="00F911E8" w:rsidRDefault="000C7B22">
            <w:pPr>
              <w:spacing w:after="0" w:line="276" w:lineRule="auto"/>
              <w:jc w:val="center"/>
            </w:pPr>
            <w:r>
              <w:rPr>
                <w:rFonts w:ascii="Times New Roman" w:eastAsia="Times New Roman" w:hAnsi="Times New Roman" w:cs="Times New Roman"/>
                <w:b/>
                <w:sz w:val="26"/>
              </w:rPr>
              <w:t>Ngày ban hành</w:t>
            </w:r>
          </w:p>
        </w:tc>
        <w:tc>
          <w:tcPr>
            <w:tcW w:w="3000" w:type="dxa"/>
          </w:tcPr>
          <w:p w:rsidR="00F911E8" w:rsidRDefault="00F911E8"/>
          <w:p w:rsidR="00F911E8" w:rsidRDefault="000C7B22">
            <w:pPr>
              <w:spacing w:after="0" w:line="276" w:lineRule="auto"/>
              <w:jc w:val="center"/>
            </w:pPr>
            <w:r>
              <w:rPr>
                <w:rFonts w:ascii="Times New Roman" w:eastAsia="Times New Roman" w:hAnsi="Times New Roman" w:cs="Times New Roman"/>
                <w:b/>
                <w:sz w:val="26"/>
              </w:rPr>
              <w:t>Cơ quan ban hành</w:t>
            </w:r>
          </w:p>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15/2023/QH15</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Luật Khám, chữa bệnh 15/2023/QH15 (09/1/2023)</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30-12-2023</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Ủy ban thường vụ quốc hội</w:t>
            </w:r>
          </w:p>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96/2023/NĐ-CP</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30-12-2023</w:t>
            </w:r>
          </w:p>
        </w:tc>
        <w:tc>
          <w:tcPr>
            <w:tcW w:w="0" w:type="auto"/>
          </w:tcPr>
          <w:p w:rsidR="00F911E8" w:rsidRDefault="00F911E8"/>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57/2024/TT-BYT</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31-12-2024</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Bộ Y tế</w:t>
            </w:r>
          </w:p>
        </w:tc>
      </w:tr>
      <w:tr w:rsidR="00F911E8">
        <w:tblPrEx>
          <w:tblCellMar>
            <w:top w:w="0" w:type="dxa"/>
            <w:bottom w:w="0" w:type="dxa"/>
          </w:tblCellMar>
        </w:tblPrEx>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148/2025/NĐ-CP</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12-06-2025</w:t>
            </w:r>
          </w:p>
        </w:tc>
        <w:tc>
          <w:tcPr>
            <w:tcW w:w="0" w:type="auto"/>
          </w:tcPr>
          <w:p w:rsidR="00F911E8" w:rsidRDefault="00F911E8"/>
          <w:p w:rsidR="00F911E8" w:rsidRDefault="000C7B22">
            <w:pPr>
              <w:spacing w:after="0" w:line="276" w:lineRule="auto"/>
            </w:pPr>
            <w:r>
              <w:rPr>
                <w:rFonts w:ascii="Times New Roman" w:eastAsia="Times New Roman" w:hAnsi="Times New Roman" w:cs="Times New Roman"/>
                <w:sz w:val="26"/>
              </w:rPr>
              <w:t>Chính phủ</w:t>
            </w:r>
          </w:p>
        </w:tc>
      </w:tr>
    </w:tbl>
    <w:p w:rsidR="00F911E8" w:rsidRDefault="000C7B2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kiện cho phép người nước ngoài vào Việt Nam chuyển giao kỹ thuật chuyên môn về khám bệnh, chữa bệnh hoặc hợp tác đào tạo về y khoa có thực hành khám bệnh, chữa bệnh (sau đây viết tắt là khám bệnh, chữa bệnh theo đợt): a) Có giấy phép hành nghề do cơ quan có thẩm quyền của nước ngoài cấp còn hiệu lực tại thời điểm thực hiện; b) Đáp ứng điều kiện quy định về người nước ngoài vào Việt Nam học tập, lao động theo quy định của pháp luật; c) Có người phiên dịch theo quy định tại khoản 2 Điều 35 Nghị định số 9</w:t>
      </w:r>
      <w:r>
        <w:rPr>
          <w:rFonts w:ascii="Times New Roman" w:eastAsia="Times New Roman" w:hAnsi="Times New Roman" w:cs="Times New Roman"/>
          <w:sz w:val="26"/>
        </w:rPr>
        <w:t>6/2023/NĐ-CP, trừ trường hợp biết tiếng Việt thành thạo; d) Thuốc, thiết bị y tế sử dụng phải phù hợp với phạm vi hoạt động chuyên môn mà cá nhân, tổ chức đó đề nghị; có nguồn gốc xuất xứ rõ ràng và đã được cơ quan có thẩm quyền ở nước ngoài hoặc Việt Nam cấp phép lưu hành; còn thời hạn và sử dụng được; đ) Được sự đồng ý tiếp nhận của cơ quan, tổ chức, cơ sở khám bệnh, chữa bệnh của Việt Nam</w:t>
      </w:r>
    </w:p>
    <w:p w:rsidR="00F911E8" w:rsidRDefault="000C7B2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911E8" w:rsidRDefault="000C7B2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https://thutuc.dichvucong.gov.vn/p/home/dvc-tthc-thu-tuc-hanh-chinh-chi-tiet.html?ma_thu_tuc=333069</w:t>
      </w:r>
    </w:p>
    <w:sectPr w:rsidR="00F911E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1E8"/>
    <w:rsid w:val="000C7B22"/>
    <w:rsid w:val="00545635"/>
    <w:rsid w:val="00F91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C54F27-4E75-4022-AD9D-71696FC6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965</Words>
  <Characters>5505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