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534" w:rsidRDefault="002E5ABE">
      <w:pPr>
        <w:spacing w:after="300" w:line="276" w:lineRule="auto"/>
        <w:jc w:val="center"/>
      </w:pPr>
      <w:r>
        <w:rPr>
          <w:rFonts w:ascii="Times New Roman" w:eastAsia="Times New Roman" w:hAnsi="Times New Roman" w:cs="Times New Roman"/>
          <w:b/>
          <w:sz w:val="26"/>
        </w:rPr>
        <w:t>Chi tiết thủ tục hành chính</w:t>
      </w:r>
    </w:p>
    <w:p w:rsidR="00796534" w:rsidRDefault="002E5AB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1.012273</w:t>
      </w:r>
    </w:p>
    <w:p w:rsidR="00796534" w:rsidRDefault="002E5AB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2976/QĐ-BYT</w:t>
      </w:r>
    </w:p>
    <w:p w:rsidR="00796534" w:rsidRDefault="002E5AB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 hạn giấy phép hành nghề đối với chức danh chuyên môn là lương y, người có bài thuốc gia truyền hoặc có phương pháp chữa bệnh gia truyền</w:t>
      </w:r>
    </w:p>
    <w:p w:rsidR="00796534" w:rsidRDefault="002E5AB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96534" w:rsidRDefault="002E5AB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96534" w:rsidRDefault="002E5AB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796534" w:rsidRDefault="002E5ABE">
      <w:pPr>
        <w:spacing w:after="0" w:line="276" w:lineRule="auto"/>
        <w:jc w:val="both"/>
      </w:pPr>
      <w:r>
        <w:rPr>
          <w:rFonts w:ascii="Times New Roman" w:eastAsia="Times New Roman" w:hAnsi="Times New Roman" w:cs="Times New Roman"/>
          <w:b/>
          <w:sz w:val="26"/>
        </w:rPr>
        <w:t xml:space="preserve">Trình tự thực hiện: </w:t>
      </w:r>
    </w:p>
    <w:p w:rsidR="00796534" w:rsidRDefault="00796534">
      <w:pPr>
        <w:shd w:val="clear" w:color="auto" w:fill="F2F6F9"/>
        <w:spacing w:before="120" w:after="0" w:line="276" w:lineRule="auto"/>
        <w:jc w:val="both"/>
      </w:pPr>
    </w:p>
    <w:p w:rsidR="00796534" w:rsidRDefault="002E5ABE">
      <w:pPr>
        <w:spacing w:after="0" w:line="276" w:lineRule="auto"/>
        <w:jc w:val="both"/>
      </w:pPr>
      <w:r>
        <w:rPr>
          <w:rFonts w:ascii="Times New Roman" w:eastAsia="Times New Roman" w:hAnsi="Times New Roman" w:cs="Times New Roman"/>
          <w:sz w:val="26"/>
        </w:rPr>
        <w:t>Bước 1:  Người đề nghị gia hạn giấy phép hành nghề nộp hồ sơ theo quy định tại khoản 1, khoản 2 Điều 26 Nghị định số 96/2023/NĐ-CP và nộp phí theo quy định của pháp luật về phí, lệ phí cho cơ quan cấp giấy phép hành nghề tối thiểu 60 ngày trước ngày giấy phép hành nghề hết hạn.  Trường hợp bị ốm đau, tai nạn hoặc trường hợp bất khả kháng tại thời điểm nộp hồ sơ gia hạn thì phải có văn bản thông báo cho cơ quan cấp giấy phép hành nghề để lùi thời gian nộp hồ sơ gia hạn giấy phép hành nghề.  Người hành nghề đ</w:t>
      </w:r>
      <w:r>
        <w:rPr>
          <w:rFonts w:ascii="Times New Roman" w:eastAsia="Times New Roman" w:hAnsi="Times New Roman" w:cs="Times New Roman"/>
          <w:sz w:val="26"/>
        </w:rPr>
        <w:t xml:space="preserve">ược đề nghị lùi thời điểm gia hạn nhiều lần nhưng tổng thời gian lùi thời điểm thực hiện gia hạn không quá 22 tháng kể từ ngày giấy phép hành nghề hết hạn. Bước 2:  Trong thời gian kể từ khi nhận đủ hồ sơ đến ngày hết hạn ghi trên giấy phép hành nghề, cơ quan cấp giấy phép hành nghề có trách nhiệm thực hiện việc gia hạn hoặc phải trả lời bằng văn bản và nêu rõ lý do nếu không thực hiện việc gia hạn; trường hợp đến ngày hết hạn ghi trên giấy phép hành nghề mà không có văn bản trả lời thì giấy phép hành nghề </w:t>
      </w:r>
      <w:r>
        <w:rPr>
          <w:rFonts w:ascii="Times New Roman" w:eastAsia="Times New Roman" w:hAnsi="Times New Roman" w:cs="Times New Roman"/>
          <w:sz w:val="26"/>
        </w:rPr>
        <w:t>tiếp tục có hiệu lực theo quy định.</w:t>
      </w:r>
    </w:p>
    <w:p w:rsidR="00796534" w:rsidRDefault="002E5AB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27"/>
        <w:gridCol w:w="3264"/>
        <w:gridCol w:w="1805"/>
        <w:gridCol w:w="3215"/>
      </w:tblGrid>
      <w:tr w:rsidR="00796534">
        <w:tblPrEx>
          <w:tblCellMar>
            <w:top w:w="0" w:type="dxa"/>
            <w:bottom w:w="0" w:type="dxa"/>
          </w:tblCellMar>
        </w:tblPrEx>
        <w:tc>
          <w:tcPr>
            <w:tcW w:w="15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Hình thức nộp</w:t>
            </w:r>
          </w:p>
        </w:tc>
        <w:tc>
          <w:tcPr>
            <w:tcW w:w="2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Phí, lệ phí</w:t>
            </w:r>
          </w:p>
        </w:tc>
        <w:tc>
          <w:tcPr>
            <w:tcW w:w="3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Mô tả</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Trực tiếp</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 xml:space="preserve">kể từ khi nhận đủ hồ sơ đến ngày hết hạn ghi trên giấy phép hành nghề </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Lệ phí : Không quy định Đồng</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Kể từ khi nhận đủ hồ sơ đến ngày hết hạn ghi trên giấy phép hành nghề</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Trực tuyến</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 xml:space="preserve">kể từ khi nhận đủ hồ sơ đến ngày hết hạn ghi trên giấy phép hành nghề </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Lệ phí : Không quy định Đồng</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Kể từ khi nhận đủ hồ sơ đến ngày hết hạn ghi trên giấy phép hành nghề</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Dịch vụ bưu chính</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 xml:space="preserve">kể từ khi nhận đủ hồ sơ đến ngày hết hạn ghi trên giấy phép hành nghề </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Lệ phí : Không quy định Đồng</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Kể từ khi nhận đủ hồ sơ đến ngày hết hạn ghi trên giấy phép hành nghề</w:t>
            </w:r>
          </w:p>
        </w:tc>
      </w:tr>
    </w:tbl>
    <w:p w:rsidR="00796534" w:rsidRDefault="002E5ABE">
      <w:pPr>
        <w:spacing w:before="240" w:after="0" w:line="276" w:lineRule="auto"/>
        <w:jc w:val="both"/>
      </w:pPr>
      <w:r>
        <w:rPr>
          <w:rFonts w:ascii="Times New Roman" w:eastAsia="Times New Roman" w:hAnsi="Times New Roman" w:cs="Times New Roman"/>
          <w:b/>
          <w:sz w:val="26"/>
        </w:rPr>
        <w:t xml:space="preserve">Thành phần hồ sơ: </w:t>
      </w:r>
    </w:p>
    <w:p w:rsidR="00796534" w:rsidRDefault="002E5AB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117"/>
        <w:gridCol w:w="1373"/>
        <w:gridCol w:w="921"/>
      </w:tblGrid>
      <w:tr w:rsidR="00796534">
        <w:tblPrEx>
          <w:tblCellMar>
            <w:top w:w="0" w:type="dxa"/>
            <w:bottom w:w="0" w:type="dxa"/>
          </w:tblCellMar>
        </w:tblPrEx>
        <w:tc>
          <w:tcPr>
            <w:tcW w:w="6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Tên giấy tờ</w:t>
            </w:r>
          </w:p>
        </w:tc>
        <w:tc>
          <w:tcPr>
            <w:tcW w:w="2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Mẫu đơn, tờ khai</w:t>
            </w:r>
          </w:p>
        </w:tc>
        <w:tc>
          <w:tcPr>
            <w:tcW w:w="2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Số lượng</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Mẫu 08 Đơn đề nghị.docx</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Bản sao hợp lệ giấy phép hành nghề đã được cấp ( không áp dụng đối với trường hợp giấy phép hành nghề đã được kết nối, chia sẻ trên Hệ thống thông tin về quản lý hoạt động khám bệnh, chữa bệnh hoặc cơ sở dữ liệu quốc gia về y tế)</w:t>
            </w:r>
          </w:p>
        </w:tc>
        <w:tc>
          <w:tcPr>
            <w:tcW w:w="0" w:type="auto"/>
          </w:tcPr>
          <w:p w:rsidR="00796534" w:rsidRDefault="00796534"/>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796534" w:rsidRDefault="00796534"/>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796534" w:rsidRDefault="002E5AB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rsidR="00796534" w:rsidRDefault="002E5AB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796534" w:rsidRDefault="002E5AB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796534" w:rsidRDefault="002E5AB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96534" w:rsidRDefault="002E5AB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96534" w:rsidRDefault="002E5AB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96534" w:rsidRDefault="002E5AB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hành nghề</w:t>
      </w:r>
    </w:p>
    <w:p w:rsidR="00796534" w:rsidRDefault="002E5ABE">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8"/>
        <w:gridCol w:w="5407"/>
        <w:gridCol w:w="871"/>
        <w:gridCol w:w="1439"/>
      </w:tblGrid>
      <w:tr w:rsidR="00796534">
        <w:tblPrEx>
          <w:tblCellMar>
            <w:top w:w="0" w:type="dxa"/>
            <w:bottom w:w="0" w:type="dxa"/>
          </w:tblCellMar>
        </w:tblPrEx>
        <w:tc>
          <w:tcPr>
            <w:tcW w:w="2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Số ký hiệu</w:t>
            </w:r>
          </w:p>
        </w:tc>
        <w:tc>
          <w:tcPr>
            <w:tcW w:w="35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Trích yếu</w:t>
            </w:r>
          </w:p>
        </w:tc>
        <w:tc>
          <w:tcPr>
            <w:tcW w:w="15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Ngày ban hành</w:t>
            </w:r>
          </w:p>
        </w:tc>
        <w:tc>
          <w:tcPr>
            <w:tcW w:w="3000" w:type="dxa"/>
          </w:tcPr>
          <w:p w:rsidR="00796534" w:rsidRDefault="00796534"/>
          <w:p w:rsidR="00796534" w:rsidRDefault="002E5ABE">
            <w:pPr>
              <w:spacing w:after="0" w:line="276" w:lineRule="auto"/>
              <w:jc w:val="center"/>
            </w:pPr>
            <w:r>
              <w:rPr>
                <w:rFonts w:ascii="Times New Roman" w:eastAsia="Times New Roman" w:hAnsi="Times New Roman" w:cs="Times New Roman"/>
                <w:b/>
                <w:sz w:val="26"/>
              </w:rPr>
              <w:t>Cơ quan ban hành</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15/2023/QH15</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Luật Khám, chữa bệnh 15/2023/QH15 (09/1/2023)</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30-12-2023</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Ủy ban thường vụ quốc hội</w:t>
            </w:r>
          </w:p>
        </w:tc>
      </w:tr>
      <w:tr w:rsidR="00796534">
        <w:tblPrEx>
          <w:tblCellMar>
            <w:top w:w="0" w:type="dxa"/>
            <w:bottom w:w="0" w:type="dxa"/>
          </w:tblCellMar>
        </w:tblPrEx>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96/2023/NĐ-CP</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796534" w:rsidRDefault="00796534"/>
          <w:p w:rsidR="00796534" w:rsidRDefault="002E5ABE">
            <w:pPr>
              <w:spacing w:after="0" w:line="276" w:lineRule="auto"/>
            </w:pPr>
            <w:r>
              <w:rPr>
                <w:rFonts w:ascii="Times New Roman" w:eastAsia="Times New Roman" w:hAnsi="Times New Roman" w:cs="Times New Roman"/>
                <w:sz w:val="26"/>
              </w:rPr>
              <w:t>30-12-2023</w:t>
            </w:r>
          </w:p>
        </w:tc>
        <w:tc>
          <w:tcPr>
            <w:tcW w:w="0" w:type="auto"/>
          </w:tcPr>
          <w:p w:rsidR="00796534" w:rsidRDefault="00796534"/>
        </w:tc>
      </w:tr>
    </w:tbl>
    <w:p w:rsidR="00796534" w:rsidRDefault="002E5AB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Trường hợp gia hạn giấy phép hành nghề đối với chức danh chuyên môn là lương y, người có bài thuốc gia truyền hoặc có phương pháp chữa bệnh gia truyền: áp dụng đối với giấy phép hành nghề hết thời hạn theo quy định tại khoản 2 Điều 27 của Luật Khám bệnh, chữa bệnh. 2. Điều kiện gia hạn giấy phép hành nghề đối với chức danh chuyên môn là lương y: thực hiện theo quy định tại khoản 2 Điều 32 của Luật Khám bệnh, chữa bệnh. 3. Điều kiện gia hạn giấy phép hành nghề đối với chức danh chuyên môn là người có bài </w:t>
      </w:r>
      <w:r>
        <w:rPr>
          <w:rFonts w:ascii="Times New Roman" w:eastAsia="Times New Roman" w:hAnsi="Times New Roman" w:cs="Times New Roman"/>
          <w:sz w:val="26"/>
        </w:rPr>
        <w:t>thuốc gia truyền hoặc có phương pháp chữa bệnh gia truyền: thực hiện theo quy định tại khoản 3 Điều 32 của Luật Khám bệnh, chữa bệnh.</w:t>
      </w:r>
    </w:p>
    <w:p w:rsidR="00796534" w:rsidRDefault="002E5AB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96534" w:rsidRDefault="002E5AB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https://thutuc.dichvucong.gov.vn/p/home/dvc-tthc-thu-tuc-hanh-chinh-chi-tiet.html?ma_thu_tuc=333114</w:t>
      </w:r>
    </w:p>
    <w:sectPr w:rsidR="0079653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96534"/>
    <w:rsid w:val="00133885"/>
    <w:rsid w:val="002E5ABE"/>
    <w:rsid w:val="0079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221CA0-8D24-449E-9816-F4CBF619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