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FA3" w:rsidRDefault="009B15C5">
      <w:pPr>
        <w:spacing w:after="300" w:line="276" w:lineRule="auto"/>
        <w:jc w:val="center"/>
      </w:pPr>
      <w:r>
        <w:rPr>
          <w:rFonts w:ascii="Times New Roman" w:eastAsia="Times New Roman" w:hAnsi="Times New Roman" w:cs="Times New Roman"/>
          <w:b/>
          <w:sz w:val="26"/>
        </w:rPr>
        <w:t>Chi tiết thủ tục hành chính</w:t>
      </w:r>
    </w:p>
    <w:p w:rsidR="00210FA3" w:rsidRDefault="009B15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1.012278</w:t>
      </w:r>
    </w:p>
    <w:p w:rsidR="00210FA3" w:rsidRDefault="009B15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210FA3" w:rsidRDefault="009B15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phép hoạt động khám bệnh, chữa bệnh</w:t>
      </w:r>
    </w:p>
    <w:p w:rsidR="00210FA3" w:rsidRDefault="009B15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210FA3" w:rsidRDefault="009B15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10FA3" w:rsidRDefault="009B15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210FA3" w:rsidRDefault="009B15C5">
      <w:pPr>
        <w:spacing w:after="0" w:line="276" w:lineRule="auto"/>
        <w:jc w:val="both"/>
      </w:pPr>
      <w:r>
        <w:rPr>
          <w:rFonts w:ascii="Times New Roman" w:eastAsia="Times New Roman" w:hAnsi="Times New Roman" w:cs="Times New Roman"/>
          <w:b/>
          <w:sz w:val="26"/>
        </w:rPr>
        <w:t xml:space="preserve">Trình tự thực hiện: </w:t>
      </w:r>
    </w:p>
    <w:p w:rsidR="00210FA3" w:rsidRDefault="00210FA3">
      <w:pPr>
        <w:shd w:val="clear" w:color="auto" w:fill="F2F6F9"/>
        <w:spacing w:before="120" w:after="0" w:line="276" w:lineRule="auto"/>
        <w:jc w:val="both"/>
      </w:pPr>
    </w:p>
    <w:p w:rsidR="00210FA3" w:rsidRDefault="009B15C5">
      <w:pPr>
        <w:spacing w:after="0" w:line="276" w:lineRule="auto"/>
        <w:jc w:val="both"/>
      </w:pPr>
      <w:r>
        <w:rPr>
          <w:rFonts w:ascii="Times New Roman" w:eastAsia="Times New Roman" w:hAnsi="Times New Roman" w:cs="Times New Roman"/>
          <w:sz w:val="26"/>
        </w:rPr>
        <w:t>Bước 1: Nộp 01 bộ hồ sơ đề nghị cấp mới và nộp phí theo quy định của pháp luật về phí, lệ phí cho cơ quan có thẩm quyền cấp giấy phép hoạt động (sau đây viết tắt là cơ quan cấp giấy phép hoạt động) cụ thể như sau:  1. Bộ Y tế:   a) Cục Quản lý Khám chữa bệnh: đối với các cơ sở khám bệnh, chữa bệnh Nhà nước trực thuộc Bộ Y tế và bệnh viện tư nhân trừ các trường hợp thuộc điểm b, c mục này;  b) Cục Quản lý Y, Dược cổ truyền: đối với các cơ sở khám bệnh, chữa bệnh y học cổ truyền Nhà nước  trực thuộc Bộ Y tế v</w:t>
      </w:r>
      <w:r>
        <w:rPr>
          <w:rFonts w:ascii="Times New Roman" w:eastAsia="Times New Roman" w:hAnsi="Times New Roman" w:cs="Times New Roman"/>
          <w:sz w:val="26"/>
        </w:rPr>
        <w:t>à bệnh viện y học cổ truyền tư nhân.  c) Cục Phòng bệnh: đối với các cơ sở khám bệnh, chữa bệnh tổ chức theo hình thức cơ sở độc lập chỉ thực hiện khám bệnh, chữa bệnh đối với bệnh nghề nghiệp Nhà nước trực thuộc Bộ Y tế và Bệnh viện tư nhân tổ chức theo hình thức cơ sở độc lập chỉ thực hiện khám bệnh, chữa bệnh đối với bệnh nghề nghiệp.  2. Sở Y tế:  a) Các cơ sở khám bệnh, chữa bệnh trên địa bàn quản lý của Sở Y tế (bao gồm cả các cơ sở khám bệnh, chữa bệnh thuộc Bộ, ngành), trừ cơ sở khám bệnh, chữa bệnh</w:t>
      </w:r>
      <w:r>
        <w:rPr>
          <w:rFonts w:ascii="Times New Roman" w:eastAsia="Times New Roman" w:hAnsi="Times New Roman" w:cs="Times New Roman"/>
          <w:sz w:val="26"/>
        </w:rPr>
        <w:t xml:space="preserve"> trực thuộc Bộ Y tế và các cơ sở khám bệnh, chữa bệnh thuộc thẩm quyền quản lý của Bộ Quốc phòng, Bộ Công an;  b) Cơ sở khám bệnh, chữa bệnh tư nhân trên địa bàn quản lý (trừ bệnh viện tư nhân). Bước 2: Sau khi tiếp nhận hồ sơ, cơ quan tiếp nhận hồ sơ cấp cho cơ sở đề nghị phiếu tiếp nhận hồ sơ theo Mẫu 02 Phụ lục I ban hành kèm theo Nghị định số 96/2023/NĐ-CP. Bước 3: 1. Trường hợp không có yêu cầu sửa đổi, bổ sung hồ sơ: a) Cơ quan cấp giấy phép hoạt động tổ chức thẩm định điều kiện hoạt động và danh mục </w:t>
      </w:r>
      <w:r>
        <w:rPr>
          <w:rFonts w:ascii="Times New Roman" w:eastAsia="Times New Roman" w:hAnsi="Times New Roman" w:cs="Times New Roman"/>
          <w:sz w:val="26"/>
        </w:rPr>
        <w:t>kỹ thuật thực hiện tại cơ sở đề nghị và lập biên bản thẩm định trong thời hạn 60 ngày, kể từ ngày ghi trên phiếu tiếp nhận hồ sơ; b) Trường hợp không có yêu cầu sửa đổi, bổ sung phải cấp mới giấy phép hoạt động và ban hành quyết định phê duyệt danh mục kỹ thuật thực hiện tại cơ sở trong thời hạn 10 ngày làm việc, kể từ ngày ban hành biên bản thẩm định; c) Trường hợp có yêu cầu sửa đổi, bổ sung phải nêu rõ trong nội dung của biên bản thẩm định.  Trong thời hạn 10 ngày làm việc, kể từ ngày nhận được văn bản t</w:t>
      </w:r>
      <w:r>
        <w:rPr>
          <w:rFonts w:ascii="Times New Roman" w:eastAsia="Times New Roman" w:hAnsi="Times New Roman" w:cs="Times New Roman"/>
          <w:sz w:val="26"/>
        </w:rPr>
        <w:t xml:space="preserve">hông báo và tài liệu chứng minh đã hoàn thành việc khắc phục, sửa chữa của cơ sở đề nghị, cơ quan cấp giấy phép hoạt động có thể tiến hành kiểm tra thực tế việc khắc phục, sửa chữa của cơ sở đề nghị trong trường hợp cần thiết hoặc thực hiện việc cấp giấy phép hoạt động. Trường hợp không cấp giấy phép hoạt động phải có văn bản trả lời và nêu rõ lý do. 2. Trường hợp có yêu cầu sửa đổi, bổ sung hồ sơ: a) Cơ quan cấp giấy phép hoạt động phải </w:t>
      </w:r>
      <w:r>
        <w:rPr>
          <w:rFonts w:ascii="Times New Roman" w:eastAsia="Times New Roman" w:hAnsi="Times New Roman" w:cs="Times New Roman"/>
          <w:sz w:val="26"/>
        </w:rPr>
        <w:lastRenderedPageBreak/>
        <w:t>có văn bản gửi cơ sở đề nghị, trong đó phải nêu cụ thể các tài liệu, n</w:t>
      </w:r>
      <w:r>
        <w:rPr>
          <w:rFonts w:ascii="Times New Roman" w:eastAsia="Times New Roman" w:hAnsi="Times New Roman" w:cs="Times New Roman"/>
          <w:sz w:val="26"/>
        </w:rPr>
        <w:t>ội dung cần sửa đổi, bổ sung trong thời hạn 10 ngày, kể từ ngày ghi trên phiếu tiếp nhận hồ sơ; b) Sau khi sửa đổi, bổ sung hồ sơ, cơ sở đề nghị gửi văn bản thông báo và tài liệu chứng minh đã hoàn thành việc sửa đổi, bổ sung; c) Sau khi nhận hồ sơ sửa đổi, bổ sung, cơ quan cấp giấy phép hoạt động có trách nhiệm thực hiện trình tự theo quy định: - Đối với trường hợp không còn có yêu cầu sửa đổi, bổ sung thực hiện theo trình tự tại mục 1 của bước này; - Đối với trường hợp cơ sở đã sửa đổi, bổ sung nhưng chưa</w:t>
      </w:r>
      <w:r>
        <w:rPr>
          <w:rFonts w:ascii="Times New Roman" w:eastAsia="Times New Roman" w:hAnsi="Times New Roman" w:cs="Times New Roman"/>
          <w:sz w:val="26"/>
        </w:rPr>
        <w:t xml:space="preserve"> đáp ứng yêu cầu thực hiện theo trình tự tại mục 2 của bước này. Bước 4: Trong thời hạn 05 ngày làm việc, kể từ ngày cấp giấy phép hoạt động, cơ quan cấp giấy phép hoạt động công bố trên Cổng thông tin điện tử của mình và trên Hệ thống thông tin về quản lý hoạt động khám bệnh, chữa bệnh của Bộ Y tế các thông tin sau: tên, địa chỉ cơ sở được cấp giấy phép hoạt động; họ, tên và số giấy phép hành nghề người chịu trách nhiệm chuyên môn kỹ thuật; số giấy phép hoạt động; phạm vi hoạt động chuyên môn và thời gian </w:t>
      </w:r>
      <w:r>
        <w:rPr>
          <w:rFonts w:ascii="Times New Roman" w:eastAsia="Times New Roman" w:hAnsi="Times New Roman" w:cs="Times New Roman"/>
          <w:sz w:val="26"/>
        </w:rPr>
        <w:t>hoạt động chuyên môn.</w:t>
      </w:r>
    </w:p>
    <w:p w:rsidR="00210FA3" w:rsidRDefault="009B15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0"/>
        <w:gridCol w:w="3005"/>
        <w:gridCol w:w="2701"/>
        <w:gridCol w:w="3005"/>
      </w:tblGrid>
      <w:tr w:rsidR="00210FA3">
        <w:tblPrEx>
          <w:tblCellMar>
            <w:top w:w="0" w:type="dxa"/>
            <w:bottom w:w="0" w:type="dxa"/>
          </w:tblCellMar>
        </w:tblPrEx>
        <w:tc>
          <w:tcPr>
            <w:tcW w:w="15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Hình thức nộp</w:t>
            </w:r>
          </w:p>
        </w:tc>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Phí, lệ phí</w:t>
            </w:r>
          </w:p>
        </w:tc>
        <w:tc>
          <w:tcPr>
            <w:tcW w:w="3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Mô tả</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Trực tiếp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 xml:space="preserve">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 </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Phí : 2.150.000 Đồng (Phòng khám chuyên khoa, Phòng khám liên chuyên khoa, Phòng khám bác sỹ y khoa, Phòng khám răng hàm mặt, Phòng khám dinh dưỡng, Phòng khám y sỹ đa khoa, Cơ sở dịch vụ cận lâm sàng)</w:t>
            </w:r>
          </w:p>
          <w:p w:rsidR="00210FA3" w:rsidRDefault="009B15C5">
            <w:pPr>
              <w:spacing w:after="0" w:line="276" w:lineRule="auto"/>
            </w:pPr>
            <w:r>
              <w:rPr>
                <w:rFonts w:ascii="Times New Roman" w:eastAsia="Times New Roman" w:hAnsi="Times New Roman" w:cs="Times New Roman"/>
                <w:sz w:val="26"/>
              </w:rPr>
              <w:t>Phí : 2.150.000 Đồng (Các hình thức tổ chức khám bệnh, chữa bệnh khác)</w:t>
            </w:r>
          </w:p>
          <w:p w:rsidR="00210FA3" w:rsidRDefault="009B15C5">
            <w:pPr>
              <w:spacing w:after="0" w:line="276" w:lineRule="auto"/>
            </w:pPr>
            <w:r>
              <w:rPr>
                <w:rFonts w:ascii="Times New Roman" w:eastAsia="Times New Roman" w:hAnsi="Times New Roman" w:cs="Times New Roman"/>
                <w:sz w:val="26"/>
              </w:rPr>
              <w:t xml:space="preserve">Phí : 2.850.000 Đồng (Phòng khám đa khoa, nhà hộ sinh, cơ sở khám bệnh, chữa bệnh y học </w:t>
            </w:r>
            <w:r>
              <w:rPr>
                <w:rFonts w:ascii="Times New Roman" w:eastAsia="Times New Roman" w:hAnsi="Times New Roman" w:cs="Times New Roman"/>
                <w:sz w:val="26"/>
              </w:rPr>
              <w:lastRenderedPageBreak/>
              <w:t>gia đình)</w:t>
            </w:r>
          </w:p>
          <w:p w:rsidR="00210FA3" w:rsidRDefault="009B15C5">
            <w:pPr>
              <w:spacing w:after="0" w:line="276" w:lineRule="auto"/>
            </w:pPr>
            <w:r>
              <w:rPr>
                <w:rFonts w:ascii="Times New Roman" w:eastAsia="Times New Roman" w:hAnsi="Times New Roman" w:cs="Times New Roman"/>
                <w:sz w:val="26"/>
              </w:rPr>
              <w:t>Phí : 1.550.000 Đồng (Phòng khám y học cổ truyền, Phòng chẩn trị y học cổ truyền, Trạm y tế cấp xã, trạm xá và tương đương)</w:t>
            </w:r>
          </w:p>
          <w:p w:rsidR="00210FA3" w:rsidRDefault="009B15C5">
            <w:pPr>
              <w:spacing w:after="0" w:line="276" w:lineRule="auto"/>
            </w:pPr>
            <w:r>
              <w:rPr>
                <w:rFonts w:ascii="Times New Roman" w:eastAsia="Times New Roman" w:hAnsi="Times New Roman" w:cs="Times New Roman"/>
                <w:sz w:val="26"/>
              </w:rPr>
              <w:t>Phí : 5.250.000 Đồng (Bệnh viện)</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Trực tuyến</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 xml:space="preserve">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 </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Phí : 1.550.000 Đồng (Phòng khám y học cổ truyền, Phòng chẩn trị y học cổ truyền, Trạm y tế cấp xã, trạm xá và tương đương)</w:t>
            </w:r>
          </w:p>
          <w:p w:rsidR="00210FA3" w:rsidRDefault="009B15C5">
            <w:pPr>
              <w:spacing w:after="0" w:line="276" w:lineRule="auto"/>
            </w:pPr>
            <w:r>
              <w:rPr>
                <w:rFonts w:ascii="Times New Roman" w:eastAsia="Times New Roman" w:hAnsi="Times New Roman" w:cs="Times New Roman"/>
                <w:sz w:val="26"/>
              </w:rPr>
              <w:t>Phí : 2.150.000 Đồng (Phòng khám chuyên khoa, Phòng khám liên chuyên khoa, Phòng khám bác sỹ y khoa, Phòng khám răng hàm mặt, Phòng khám dinh dưỡng, Phòng khám y sỹ đa khoa, Cơ sở dịch vụ cận lâm sàng)</w:t>
            </w:r>
          </w:p>
          <w:p w:rsidR="00210FA3" w:rsidRDefault="009B15C5">
            <w:pPr>
              <w:spacing w:after="0" w:line="276" w:lineRule="auto"/>
            </w:pPr>
            <w:r>
              <w:rPr>
                <w:rFonts w:ascii="Times New Roman" w:eastAsia="Times New Roman" w:hAnsi="Times New Roman" w:cs="Times New Roman"/>
                <w:sz w:val="26"/>
              </w:rPr>
              <w:t>Phí : 2.150.000 Đồng (Các hình thức tổ chức khám bệnh, chữa bệnh khác)</w:t>
            </w:r>
          </w:p>
          <w:p w:rsidR="00210FA3" w:rsidRDefault="009B15C5">
            <w:pPr>
              <w:spacing w:after="0" w:line="276" w:lineRule="auto"/>
            </w:pPr>
            <w:r>
              <w:rPr>
                <w:rFonts w:ascii="Times New Roman" w:eastAsia="Times New Roman" w:hAnsi="Times New Roman" w:cs="Times New Roman"/>
                <w:sz w:val="26"/>
              </w:rPr>
              <w:t>Phí : 2.850.000 Đồng (Phòng khám đa khoa, nhà hộ sinh, cơ sở khám bệnh, chữa bệnh y học gia đình)</w:t>
            </w:r>
          </w:p>
          <w:p w:rsidR="00210FA3" w:rsidRDefault="009B15C5">
            <w:pPr>
              <w:spacing w:after="0" w:line="276" w:lineRule="auto"/>
            </w:pPr>
            <w:r>
              <w:rPr>
                <w:rFonts w:ascii="Times New Roman" w:eastAsia="Times New Roman" w:hAnsi="Times New Roman" w:cs="Times New Roman"/>
                <w:sz w:val="26"/>
              </w:rPr>
              <w:t>Phí : 5.250.000 Đồng (Bệnh viện)</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Dịch vụ bưu chính</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 xml:space="preserve">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 </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Phí : 1.550.000 Đồng (Phòng khám y học cổ truyền, Phòng chẩn trị y học cổ truyền, Trạm y tế cấp xã, trạm xá và tương đương)</w:t>
            </w:r>
          </w:p>
          <w:p w:rsidR="00210FA3" w:rsidRDefault="009B15C5">
            <w:pPr>
              <w:spacing w:after="0" w:line="276" w:lineRule="auto"/>
            </w:pPr>
            <w:r>
              <w:rPr>
                <w:rFonts w:ascii="Times New Roman" w:eastAsia="Times New Roman" w:hAnsi="Times New Roman" w:cs="Times New Roman"/>
                <w:sz w:val="26"/>
              </w:rPr>
              <w:t>Phí : 2.150.000 Đồng</w:t>
            </w:r>
            <w:r>
              <w:rPr>
                <w:rFonts w:ascii="Times New Roman" w:eastAsia="Times New Roman" w:hAnsi="Times New Roman" w:cs="Times New Roman"/>
                <w:sz w:val="26"/>
              </w:rPr>
              <w:t xml:space="preserve"> (Phòng khám chuyên khoa, Phòng khám liên chuyên khoa, Phòng khám bác sỹ y khoa, Phòng khám răng hàm mặt, Phòng khám dinh dưỡng, Phòng khám y sỹ đa khoa, Cơ sở dịch vụ cận lâm sàng)</w:t>
            </w:r>
          </w:p>
          <w:p w:rsidR="00210FA3" w:rsidRDefault="009B15C5">
            <w:pPr>
              <w:spacing w:after="0" w:line="276" w:lineRule="auto"/>
            </w:pPr>
            <w:r>
              <w:rPr>
                <w:rFonts w:ascii="Times New Roman" w:eastAsia="Times New Roman" w:hAnsi="Times New Roman" w:cs="Times New Roman"/>
                <w:sz w:val="26"/>
              </w:rPr>
              <w:t>Phí : 2.150.000 Đồng (Các hình thức tổ chức khám bệnh, chữa bệnh khác)</w:t>
            </w:r>
          </w:p>
          <w:p w:rsidR="00210FA3" w:rsidRDefault="009B15C5">
            <w:pPr>
              <w:spacing w:after="0" w:line="276" w:lineRule="auto"/>
            </w:pPr>
            <w:r>
              <w:rPr>
                <w:rFonts w:ascii="Times New Roman" w:eastAsia="Times New Roman" w:hAnsi="Times New Roman" w:cs="Times New Roman"/>
                <w:sz w:val="26"/>
              </w:rPr>
              <w:t>Phí : 2.850.000 Đồng (Phòng khám đa khoa, nhà hộ sinh, cơ sở khám bệnh, chữa bệnh y học gia đình)</w:t>
            </w:r>
          </w:p>
          <w:p w:rsidR="00210FA3" w:rsidRDefault="009B15C5">
            <w:pPr>
              <w:spacing w:after="0" w:line="276" w:lineRule="auto"/>
            </w:pPr>
            <w:r>
              <w:rPr>
                <w:rFonts w:ascii="Times New Roman" w:eastAsia="Times New Roman" w:hAnsi="Times New Roman" w:cs="Times New Roman"/>
                <w:sz w:val="26"/>
              </w:rPr>
              <w:t>Phí : 5.250.000 Đồng (Bệnh viện)</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Tổ chức thẩm định điều kiện hoạt động và danh mục kỹ thuật thực hiện tại cơ sở đề nghị và lập biên bản thẩm định trong thời hạn 60 ngày kể từ ngày nhận đủ hồ sơ và; 10 ngày làm việc kể từ ngày ban hành biên bản thẩm định hoặc nhận được văn bản thông báo và tài liệu chứng minh đã hoàn thành việc khắc phục, sửa chữa của cơ sở đề nghị.</w:t>
            </w:r>
          </w:p>
        </w:tc>
      </w:tr>
    </w:tbl>
    <w:p w:rsidR="00210FA3" w:rsidRDefault="009B15C5">
      <w:pPr>
        <w:spacing w:before="240" w:after="0" w:line="276" w:lineRule="auto"/>
        <w:jc w:val="both"/>
      </w:pPr>
      <w:r>
        <w:rPr>
          <w:rFonts w:ascii="Times New Roman" w:eastAsia="Times New Roman" w:hAnsi="Times New Roman" w:cs="Times New Roman"/>
          <w:b/>
          <w:sz w:val="26"/>
        </w:rPr>
        <w:t xml:space="preserve">Thành phần hồ sơ: </w:t>
      </w:r>
    </w:p>
    <w:p w:rsidR="00210FA3" w:rsidRDefault="009B15C5">
      <w:pPr>
        <w:shd w:val="clear" w:color="auto" w:fill="F2F6F9"/>
        <w:spacing w:before="120" w:after="0" w:line="276" w:lineRule="auto"/>
        <w:jc w:val="both"/>
      </w:pPr>
      <w:r>
        <w:rPr>
          <w:rFonts w:ascii="Times New Roman" w:eastAsia="Times New Roman" w:hAnsi="Times New Roman" w:cs="Times New Roman"/>
          <w:b/>
          <w:sz w:val="26"/>
        </w:rPr>
        <w:t>Trường hợp 1: Hồ sơ đề nghị cấp mới giấy phép hoạt động đối với trường hợp quy định tại các điểm a, b, c, d, đ, e khoản 1 Điều 59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20"/>
        <w:gridCol w:w="1593"/>
        <w:gridCol w:w="912"/>
      </w:tblGrid>
      <w:tr w:rsidR="00210FA3">
        <w:tblPrEx>
          <w:tblCellMar>
            <w:top w:w="0" w:type="dxa"/>
            <w:bottom w:w="0" w:type="dxa"/>
          </w:tblCellMar>
        </w:tblPrEx>
        <w:tc>
          <w:tcPr>
            <w:tcW w:w="6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Tên giấy tờ</w:t>
            </w:r>
          </w:p>
        </w:tc>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Mẫu đơn, tờ khai</w:t>
            </w:r>
          </w:p>
        </w:tc>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Số lượng</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02.docx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sao hợp lệ quyết định thành  lập hoặc văn bản có tên của cơ sở khám bệnh, chữa bệnh của cơ quan nhà nước có thẩm quyền đối với cơ sở khám bệnh, chữa bệnh của nhà nước hoặc giấy chứng nhận đăng ký doanh nghiệp đối với cơ sở khám bệnh, chữa bệnh tư nhân hoặc giấy chứng nhận đầu tư đối với cơ sở khám bệnh, chữa bệnh có vốn đầu tư nước ngoài</w:t>
            </w:r>
          </w:p>
        </w:tc>
        <w:tc>
          <w:tcPr>
            <w:tcW w:w="0" w:type="auto"/>
          </w:tcPr>
          <w:p w:rsidR="00210FA3" w:rsidRDefault="00210FA3"/>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sao hợp lệ giấy phép hành  nghề và giấy xác nhận quá trình hành nghề theo Mẫu 11 Phụ lục I ban hành kèm theo Nghị định số 96/2023/NĐ-CP của người chịu trách nhiệm chuyên môn kỹ thuật của cơ sở khám bệnh, chữa bệnh (không áp dụng đối với trường hợp các giấy tờ này đã được kết nối, chia sẻ trên Hệ thống thông tin về quản lý hoạt động khám bệnh, chữa bệnh hoặc cơ sở dữ liệu quốc gia về y tế)</w:t>
            </w:r>
          </w:p>
        </w:tc>
        <w:tc>
          <w:tcPr>
            <w:tcW w:w="0" w:type="auto"/>
          </w:tcPr>
          <w:p w:rsidR="00210FA3" w:rsidRDefault="00210FA3"/>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sao hợp lệ giấy phép hành  nghề và giấy xác nhận quá trình hành nghề theo Mẫu 11 Phụ lục I ban hành kèm theo Nghị định số 96/2023/NĐ-CP của người phụ trách bộ phận chuyên môn của cơ sở khám bệnh, chữa bệnh (không áp dụng đối với trường hợp các giấy tờ này đã được kết nối, chia sẻ trên Hệ thống thông tin về quản lý hoạt động khám bệnh, chữa bệnh hoặc cơ sở dữ liệu quốc gia về y tế)</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11.docx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kê khai cơ sở vật chất,  danh mục thiết bị y tế, danh sách nhân sự đáp ứng điều kiện cấp giấy phép hoạt động tương ứng với từng hình thức tổ chức theo Mẫu 08 Phụ lục II ban hành kèm theo Nghị định số 96/2023/NĐ-CP và các giấy tờ chứng minh, xác nhận các kê khai đó</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08 Kê khai cơ sở vật chất.docx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Danh sách ghi rõ họ tên,  số giấy phép hành nghề của từng người hành nghề đăng ký hành nghề tại cơ sở đó theo Mẫu 01 Phụ lục II ban hành kèm theo Nghị định số 96/2023/NĐ-CP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01 DS đăng ký hành nghề.docx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Văn bản do cấp có  thẩm quyền phê duyệt quy định về chức năng nhiệm vụ, cơ cấu tổ chức của bệnh viện của nhà nước hoặc điều lệ tổ chức và hoạt động đối với bệnh viện tư nhân theo Mẫu 03 Phụ lục II ban hành kèm theo Nghị định số 96/2023/NĐ-CP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03 điều lệ.docx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Danh mục  chuyên môn kỹ thuật của cơ sở khám bệnh, chữa bệnh đề xuất trên cơ sở danh mục chuyên môn kỹ thuật do Bộ trưởng Bộ Y tế ban hành</w:t>
            </w:r>
          </w:p>
        </w:tc>
        <w:tc>
          <w:tcPr>
            <w:tcW w:w="0" w:type="auto"/>
          </w:tcPr>
          <w:p w:rsidR="00210FA3" w:rsidRDefault="00210FA3"/>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Trường hợp đề  nghị cấp lần đầu giấy phép hoạt động cơ sở khám bệnh, chữa bệnh nhân đạo hoặc cơ sở khám bệnh, chữa bệnh không vì mục đích lợi nhuận thì phải có tài liệu chứng minh nguồn tài chính bảo đảm cho hoạt động khám bệnh, chữa bệnh nhân đạo hoặc hoạt động khám bệnh, chữa bệnh không vì mục đích lợi nhuận</w:t>
            </w:r>
          </w:p>
        </w:tc>
        <w:tc>
          <w:tcPr>
            <w:tcW w:w="0" w:type="auto"/>
          </w:tcPr>
          <w:p w:rsidR="00210FA3" w:rsidRDefault="00210FA3"/>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210FA3" w:rsidRDefault="009B15C5">
      <w:pPr>
        <w:shd w:val="clear" w:color="auto" w:fill="F2F6F9"/>
        <w:spacing w:before="120" w:after="0" w:line="276" w:lineRule="auto"/>
        <w:jc w:val="both"/>
      </w:pPr>
      <w:r>
        <w:rPr>
          <w:rFonts w:ascii="Times New Roman" w:eastAsia="Times New Roman" w:hAnsi="Times New Roman" w:cs="Times New Roman"/>
          <w:b/>
          <w:sz w:val="26"/>
        </w:rPr>
        <w:t>Trường hợp 2: Hồ sơ đề nghị cấp mới giấy phép hoạt động đối với cơ sở đã được cấp giấy phép hoạt động nhưng đề nghị chuyển sang hoạt động theo mô hình khám bệnh, chữa bệnh nhân đạo hoặc hoạt động theo mô hình không vì mục đích lợi nhuận, không thu chi phí khám bệnh, chữa bệnh của người bệnh theo quy định tại điểm g khoản 1 Điều 59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69"/>
        <w:gridCol w:w="1609"/>
        <w:gridCol w:w="1547"/>
      </w:tblGrid>
      <w:tr w:rsidR="00210FA3">
        <w:tblPrEx>
          <w:tblCellMar>
            <w:top w:w="0" w:type="dxa"/>
            <w:bottom w:w="0" w:type="dxa"/>
          </w:tblCellMar>
        </w:tblPrEx>
        <w:tc>
          <w:tcPr>
            <w:tcW w:w="6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Tên giấy tờ</w:t>
            </w:r>
          </w:p>
        </w:tc>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Mẫu đơn, tờ khai</w:t>
            </w:r>
          </w:p>
        </w:tc>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Số lượng</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Mẫu 02.docx</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Tài liệu chứng minh nguồn tài chính cho hoạt động khám bệnh, chữa bệnh nhân đạo</w:t>
            </w:r>
          </w:p>
        </w:tc>
        <w:tc>
          <w:tcPr>
            <w:tcW w:w="0" w:type="auto"/>
          </w:tcPr>
          <w:p w:rsidR="00210FA3" w:rsidRDefault="00210FA3"/>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10FA3" w:rsidRDefault="009B15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rsidR="00210FA3" w:rsidRDefault="009B15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Cục Phòng bệnh - Bộ Y tế, Sở Y tế</w:t>
      </w:r>
    </w:p>
    <w:p w:rsidR="00210FA3" w:rsidRDefault="009B15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10FA3" w:rsidRDefault="009B15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10FA3" w:rsidRDefault="009B15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10FA3" w:rsidRDefault="009B15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10FA3" w:rsidRDefault="009B15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khám bệnh, chữa bệnh</w:t>
      </w:r>
    </w:p>
    <w:p w:rsidR="00210FA3" w:rsidRDefault="009B15C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9"/>
        <w:gridCol w:w="5562"/>
        <w:gridCol w:w="832"/>
        <w:gridCol w:w="1342"/>
      </w:tblGrid>
      <w:tr w:rsidR="00210FA3">
        <w:tblPrEx>
          <w:tblCellMar>
            <w:top w:w="0" w:type="dxa"/>
            <w:bottom w:w="0" w:type="dxa"/>
          </w:tblCellMar>
        </w:tblPrEx>
        <w:tc>
          <w:tcPr>
            <w:tcW w:w="2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Số ký hiệu</w:t>
            </w:r>
          </w:p>
        </w:tc>
        <w:tc>
          <w:tcPr>
            <w:tcW w:w="35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Trích yếu</w:t>
            </w:r>
          </w:p>
        </w:tc>
        <w:tc>
          <w:tcPr>
            <w:tcW w:w="15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Ngày ban hành</w:t>
            </w:r>
          </w:p>
        </w:tc>
        <w:tc>
          <w:tcPr>
            <w:tcW w:w="3000" w:type="dxa"/>
          </w:tcPr>
          <w:p w:rsidR="00210FA3" w:rsidRDefault="00210FA3"/>
          <w:p w:rsidR="00210FA3" w:rsidRDefault="009B15C5">
            <w:pPr>
              <w:spacing w:after="0" w:line="276" w:lineRule="auto"/>
              <w:jc w:val="center"/>
            </w:pPr>
            <w:r>
              <w:rPr>
                <w:rFonts w:ascii="Times New Roman" w:eastAsia="Times New Roman" w:hAnsi="Times New Roman" w:cs="Times New Roman"/>
                <w:b/>
                <w:sz w:val="26"/>
              </w:rPr>
              <w:t>Cơ quan ban hành</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59/2023/TT-BTC</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30-08-2023</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Bộ trưởng Bộ tài chính</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15/2023/QH15</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Luật Khám, chữa bệnh 15/2023/QH15 (09/1/2023)</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30-12-2023</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Ủy ban thường vụ quốc hội</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96/2023/NĐ-CP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30-12-2023</w:t>
            </w:r>
          </w:p>
        </w:tc>
        <w:tc>
          <w:tcPr>
            <w:tcW w:w="0" w:type="auto"/>
          </w:tcPr>
          <w:p w:rsidR="00210FA3" w:rsidRDefault="00210FA3"/>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42/2025/NĐ-CP</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27-02-2025</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Chính phủ</w:t>
            </w:r>
          </w:p>
        </w:tc>
      </w:tr>
      <w:tr w:rsidR="00210FA3">
        <w:tblPrEx>
          <w:tblCellMar>
            <w:top w:w="0" w:type="dxa"/>
            <w:bottom w:w="0" w:type="dxa"/>
          </w:tblCellMar>
        </w:tblPrEx>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64/2025/TT-BTC</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210FA3" w:rsidRDefault="00210FA3"/>
          <w:p w:rsidR="00210FA3" w:rsidRDefault="009B15C5">
            <w:pPr>
              <w:spacing w:after="0" w:line="276" w:lineRule="auto"/>
            </w:pPr>
            <w:r>
              <w:rPr>
                <w:rFonts w:ascii="Times New Roman" w:eastAsia="Times New Roman" w:hAnsi="Times New Roman" w:cs="Times New Roman"/>
                <w:sz w:val="26"/>
              </w:rPr>
              <w:t>30-06-2025</w:t>
            </w:r>
          </w:p>
        </w:tc>
        <w:tc>
          <w:tcPr>
            <w:tcW w:w="0" w:type="auto"/>
          </w:tcPr>
          <w:p w:rsidR="00210FA3" w:rsidRDefault="00210FA3"/>
        </w:tc>
      </w:tr>
    </w:tbl>
    <w:p w:rsidR="00210FA3" w:rsidRDefault="009B15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Các trường hợp cấp mới giấy phép hoạt động: a) Cơ sở khám bệnh, chữa bệnh lần đầu tiên đề nghị cấp giấy phép hoạt động; b) Cơ sở khám bệnh, chữa bệnh bị thu hồi giấy phép hoạt động, trừ trường hợp quy định tại điểm d khoản 1 Điều 56 của Luật Khám bệnh, chữa bệnh; c) Cơ sở khám bệnh, chữa bệnh đã được cấp giấy phép hoạt động nhưng thay đổi hình thức tổ chức; d) Cơ sở khám bệnh, chữa bệnh đã được cấp giấy phép hoạt động nhưng thay đổi địa điểm; đ) Cơ sở khám bệnh, chữa bệnh đã được cấp giấy phép hoạt động </w:t>
      </w:r>
      <w:r>
        <w:rPr>
          <w:rFonts w:ascii="Times New Roman" w:eastAsia="Times New Roman" w:hAnsi="Times New Roman" w:cs="Times New Roman"/>
          <w:sz w:val="26"/>
        </w:rPr>
        <w:t>nhưng chia tách, hợp nhất, sáp nhập; e) Cơ sở khám bệnh, chữa bệnh đã được cấp giấy phép hoạt động nhưng bổ sung thêm cơ sở khám bệnh, chữa bệnh trực thuộc ngoài khuôn viên của cơ sở đã được cấp phép; g) Cơ sở khám bệnh, chữa bệnh đã được cấp giấy phép hoạt động nhưng đề nghị chuyển sang hoạt động theo mô hình khám bệnh, chữa bệnh nhân đạo hoặc cơ sở khám bệnh, chữa bệnh không vì mục đích lợi nhuận. 2. Cơ sở khám bệnh, chữa bệnh đã được cấp giấy phép hoạt động có thay đổi chủ sở hữu nhưng không thay đổi tên</w:t>
      </w:r>
      <w:r>
        <w:rPr>
          <w:rFonts w:ascii="Times New Roman" w:eastAsia="Times New Roman" w:hAnsi="Times New Roman" w:cs="Times New Roman"/>
          <w:sz w:val="26"/>
        </w:rPr>
        <w:t xml:space="preserve"> gọi, quy mô, phạm vi hoạt động, địa điểm thì không phải thực hiện thủ tục đề nghị cấp mới giấy phép hoạt động. 3. Đáp ứng theo các điều kiện quy định tại Điều 40 đến Điều 58 Nghị định số 96/2023/NĐ-CP ngày 30 tháng 12 năm 2023 của Chính phủ quy định chi tiết một số điều của Luật Khám bệnh, chữa bệnh.</w:t>
      </w:r>
    </w:p>
    <w:p w:rsidR="00210FA3" w:rsidRDefault="009B15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10FA3" w:rsidRDefault="009B15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https://thutuc.dichvucong.gov.vn/p/home/dvc-tthc-thu-tuc-hanh-chinh-chi-tiet.html?ma_thu_tuc=333117</w:t>
      </w:r>
    </w:p>
    <w:sectPr w:rsidR="00210FA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0FA3"/>
    <w:rsid w:val="00133885"/>
    <w:rsid w:val="00210FA3"/>
    <w:rsid w:val="009B1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221CA0-8D24-449E-9816-F4CBF619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